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7AC" w:rsidRPr="007A27AC" w:rsidRDefault="007A27AC" w:rsidP="007A27AC">
      <w:pPr>
        <w:jc w:val="right"/>
        <w:rPr>
          <w:sz w:val="28"/>
          <w:szCs w:val="28"/>
        </w:rPr>
      </w:pPr>
      <w:r w:rsidRPr="007A27AC">
        <w:rPr>
          <w:sz w:val="28"/>
          <w:szCs w:val="28"/>
        </w:rPr>
        <w:t>BOZZA</w:t>
      </w:r>
    </w:p>
    <w:tbl>
      <w:tblPr>
        <w:tblW w:w="0" w:type="auto"/>
        <w:tblInd w:w="288" w:type="dxa"/>
        <w:tblLayout w:type="fixed"/>
        <w:tblLook w:val="01E0"/>
      </w:tblPr>
      <w:tblGrid>
        <w:gridCol w:w="5517"/>
        <w:gridCol w:w="3973"/>
      </w:tblGrid>
      <w:tr w:rsidR="00AC0DA4" w:rsidTr="00DE6244">
        <w:trPr>
          <w:trHeight w:val="2489"/>
        </w:trPr>
        <w:tc>
          <w:tcPr>
            <w:tcW w:w="9490" w:type="dxa"/>
            <w:gridSpan w:val="2"/>
            <w:vAlign w:val="center"/>
          </w:tcPr>
          <w:p w:rsidR="00AC0DA4" w:rsidRDefault="005352A9" w:rsidP="00DE6244">
            <w:pPr>
              <w:jc w:val="center"/>
            </w:pPr>
            <w:r>
              <w:rPr>
                <w:noProof/>
              </w:rPr>
              <w:drawing>
                <wp:inline distT="0" distB="0" distL="0" distR="0">
                  <wp:extent cx="795655" cy="890905"/>
                  <wp:effectExtent l="19050" t="0" r="4445" b="0"/>
                  <wp:docPr id="1" name="Immagine 1" descr="http://galilei2d.altervista.org/wordpress/wp-content/uploads/2009/02/repubblica_italiana_emblem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alilei2d.altervista.org/wordpress/wp-content/uploads/2009/02/repubblica_italiana_emblema_logo.jpg"/>
                          <pic:cNvPicPr>
                            <a:picLocks noChangeAspect="1" noChangeArrowheads="1"/>
                          </pic:cNvPicPr>
                        </pic:nvPicPr>
                        <pic:blipFill>
                          <a:blip r:embed="rId8"/>
                          <a:srcRect/>
                          <a:stretch>
                            <a:fillRect/>
                          </a:stretch>
                        </pic:blipFill>
                        <pic:spPr bwMode="auto">
                          <a:xfrm>
                            <a:off x="0" y="0"/>
                            <a:ext cx="795655" cy="890905"/>
                          </a:xfrm>
                          <a:prstGeom prst="rect">
                            <a:avLst/>
                          </a:prstGeom>
                          <a:noFill/>
                          <a:ln w="9525">
                            <a:noFill/>
                            <a:miter lim="800000"/>
                            <a:headEnd/>
                            <a:tailEnd/>
                          </a:ln>
                        </pic:spPr>
                      </pic:pic>
                    </a:graphicData>
                  </a:graphic>
                </wp:inline>
              </w:drawing>
            </w:r>
          </w:p>
        </w:tc>
      </w:tr>
      <w:tr w:rsidR="00AC0DA4" w:rsidTr="00DE6244">
        <w:trPr>
          <w:trHeight w:val="2344"/>
        </w:trPr>
        <w:tc>
          <w:tcPr>
            <w:tcW w:w="5517" w:type="dxa"/>
            <w:vAlign w:val="center"/>
          </w:tcPr>
          <w:p w:rsidR="00AC0DA4" w:rsidRDefault="005352A9" w:rsidP="00DE6244">
            <w:r>
              <w:rPr>
                <w:noProof/>
              </w:rPr>
              <w:drawing>
                <wp:inline distT="0" distB="0" distL="0" distR="0">
                  <wp:extent cx="2007235" cy="914400"/>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007235" cy="914400"/>
                          </a:xfrm>
                          <a:prstGeom prst="rect">
                            <a:avLst/>
                          </a:prstGeom>
                          <a:noFill/>
                          <a:ln w="9525">
                            <a:noFill/>
                            <a:miter lim="800000"/>
                            <a:headEnd/>
                            <a:tailEnd/>
                          </a:ln>
                        </pic:spPr>
                      </pic:pic>
                    </a:graphicData>
                  </a:graphic>
                </wp:inline>
              </w:drawing>
            </w:r>
          </w:p>
        </w:tc>
        <w:tc>
          <w:tcPr>
            <w:tcW w:w="3973" w:type="dxa"/>
            <w:vAlign w:val="center"/>
          </w:tcPr>
          <w:p w:rsidR="00AC0DA4" w:rsidRDefault="005352A9" w:rsidP="00DE6244">
            <w:r>
              <w:rPr>
                <w:noProof/>
              </w:rPr>
              <w:drawing>
                <wp:anchor distT="47625" distB="47625" distL="47625" distR="47625" simplePos="0" relativeHeight="251658240" behindDoc="0" locked="0" layoutInCell="1" allowOverlap="0">
                  <wp:simplePos x="0" y="0"/>
                  <wp:positionH relativeFrom="column">
                    <wp:posOffset>120015</wp:posOffset>
                  </wp:positionH>
                  <wp:positionV relativeFrom="line">
                    <wp:posOffset>605155</wp:posOffset>
                  </wp:positionV>
                  <wp:extent cx="1905000" cy="447675"/>
                  <wp:effectExtent l="19050" t="0" r="0" b="0"/>
                  <wp:wrapSquare wrapText="bothSides"/>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905000" cy="447675"/>
                          </a:xfrm>
                          <a:prstGeom prst="rect">
                            <a:avLst/>
                          </a:prstGeom>
                          <a:noFill/>
                        </pic:spPr>
                      </pic:pic>
                    </a:graphicData>
                  </a:graphic>
                </wp:anchor>
              </w:drawing>
            </w:r>
          </w:p>
        </w:tc>
      </w:tr>
    </w:tbl>
    <w:p w:rsidR="00AC0DA4" w:rsidRPr="0091431D" w:rsidRDefault="00AC0DA4" w:rsidP="00F03880">
      <w:pPr>
        <w:pStyle w:val="Titolo"/>
        <w:rPr>
          <w:sz w:val="24"/>
          <w:szCs w:val="24"/>
        </w:rPr>
      </w:pPr>
    </w:p>
    <w:p w:rsidR="00AC0DA4" w:rsidRDefault="00AC0DA4" w:rsidP="00F03880">
      <w:pPr>
        <w:pStyle w:val="Titolo"/>
        <w:rPr>
          <w:sz w:val="24"/>
          <w:szCs w:val="24"/>
        </w:rPr>
      </w:pPr>
    </w:p>
    <w:p w:rsidR="00AC0DA4" w:rsidRPr="0091431D" w:rsidRDefault="00AC0DA4" w:rsidP="00F03880">
      <w:pPr>
        <w:pStyle w:val="Titolo"/>
        <w:rPr>
          <w:sz w:val="24"/>
          <w:szCs w:val="24"/>
        </w:rPr>
      </w:pPr>
    </w:p>
    <w:p w:rsidR="00AC0DA4" w:rsidRPr="0091431D" w:rsidRDefault="00AC0DA4" w:rsidP="00F03880">
      <w:pPr>
        <w:pStyle w:val="Titolo"/>
        <w:jc w:val="left"/>
        <w:rPr>
          <w:sz w:val="24"/>
          <w:szCs w:val="24"/>
        </w:rPr>
      </w:pPr>
    </w:p>
    <w:p w:rsidR="00AC0DA4" w:rsidRPr="0053633E" w:rsidRDefault="00AC0DA4" w:rsidP="00F03880">
      <w:pPr>
        <w:pStyle w:val="Titolo6"/>
        <w:keepLines/>
        <w:spacing w:before="120" w:after="120"/>
        <w:jc w:val="center"/>
        <w:rPr>
          <w:rFonts w:ascii="Arial" w:hAnsi="Arial" w:cs="Arial"/>
          <w:bCs w:val="0"/>
          <w:i/>
          <w:sz w:val="52"/>
          <w:szCs w:val="24"/>
        </w:rPr>
      </w:pPr>
      <w:r w:rsidRPr="0053633E">
        <w:rPr>
          <w:rFonts w:ascii="Arial" w:hAnsi="Arial" w:cs="Arial"/>
          <w:bCs w:val="0"/>
          <w:i/>
          <w:sz w:val="52"/>
          <w:szCs w:val="24"/>
        </w:rPr>
        <w:t>CONVENZIONE TRIENNALE</w:t>
      </w:r>
    </w:p>
    <w:p w:rsidR="00AC0DA4" w:rsidRPr="0053633E" w:rsidRDefault="00AC0DA4" w:rsidP="00F03880">
      <w:pPr>
        <w:keepLines/>
        <w:spacing w:before="120" w:after="120"/>
        <w:jc w:val="center"/>
        <w:rPr>
          <w:rFonts w:cs="Arial"/>
          <w:b/>
          <w:i/>
          <w:sz w:val="52"/>
        </w:rPr>
      </w:pPr>
      <w:r>
        <w:rPr>
          <w:rFonts w:cs="Arial"/>
          <w:b/>
          <w:i/>
          <w:sz w:val="52"/>
        </w:rPr>
        <w:t>PER GLI ESERCIZI 2011</w:t>
      </w:r>
      <w:r w:rsidRPr="0053633E">
        <w:rPr>
          <w:rFonts w:cs="Arial"/>
          <w:b/>
          <w:i/>
          <w:sz w:val="52"/>
        </w:rPr>
        <w:t>-201</w:t>
      </w:r>
      <w:r>
        <w:rPr>
          <w:rFonts w:cs="Arial"/>
          <w:b/>
          <w:i/>
          <w:sz w:val="52"/>
        </w:rPr>
        <w:t>3</w:t>
      </w:r>
    </w:p>
    <w:p w:rsidR="00AC0DA4" w:rsidRPr="0053633E" w:rsidRDefault="00AC0DA4" w:rsidP="00F03880">
      <w:pPr>
        <w:keepLines/>
        <w:pBdr>
          <w:top w:val="single" w:sz="4" w:space="1" w:color="auto"/>
        </w:pBdr>
        <w:spacing w:before="120" w:after="120"/>
        <w:jc w:val="center"/>
        <w:rPr>
          <w:rFonts w:cs="Arial"/>
          <w:smallCaps/>
          <w:sz w:val="48"/>
        </w:rPr>
      </w:pPr>
    </w:p>
    <w:p w:rsidR="00AC0DA4" w:rsidRDefault="00AC0DA4" w:rsidP="00F03880">
      <w:pPr>
        <w:keepLines/>
        <w:spacing w:before="120" w:after="120"/>
        <w:jc w:val="center"/>
        <w:rPr>
          <w:rFonts w:cs="Arial"/>
          <w:i/>
          <w:sz w:val="28"/>
        </w:rPr>
      </w:pPr>
      <w:r w:rsidRPr="0053633E">
        <w:rPr>
          <w:rFonts w:cs="Arial"/>
          <w:i/>
          <w:sz w:val="28"/>
        </w:rPr>
        <w:t>(articolo 59, commi 2, 3 e 4</w:t>
      </w:r>
      <w:r w:rsidR="00A12ED5">
        <w:rPr>
          <w:rFonts w:cs="Arial"/>
          <w:i/>
          <w:sz w:val="28"/>
        </w:rPr>
        <w:t>,</w:t>
      </w:r>
      <w:r w:rsidR="00C02D64">
        <w:rPr>
          <w:rFonts w:cs="Arial"/>
          <w:i/>
          <w:sz w:val="28"/>
        </w:rPr>
        <w:t xml:space="preserve"> del </w:t>
      </w:r>
      <w:proofErr w:type="spellStart"/>
      <w:r w:rsidR="00C02D64">
        <w:rPr>
          <w:rFonts w:cs="Arial"/>
          <w:i/>
          <w:sz w:val="28"/>
        </w:rPr>
        <w:t>D.</w:t>
      </w:r>
      <w:r w:rsidRPr="0053633E">
        <w:rPr>
          <w:rFonts w:cs="Arial"/>
          <w:i/>
          <w:sz w:val="28"/>
        </w:rPr>
        <w:t>Lgs.</w:t>
      </w:r>
      <w:proofErr w:type="spellEnd"/>
      <w:r w:rsidRPr="0053633E">
        <w:rPr>
          <w:rFonts w:cs="Arial"/>
          <w:i/>
          <w:sz w:val="28"/>
        </w:rPr>
        <w:t xml:space="preserve"> 30 luglio 1999, n. 300)</w:t>
      </w:r>
    </w:p>
    <w:p w:rsidR="00AC0DA4" w:rsidRDefault="00AC0DA4" w:rsidP="00005826">
      <w:pPr>
        <w:keepLines/>
        <w:spacing w:before="120" w:after="120"/>
        <w:jc w:val="center"/>
        <w:rPr>
          <w:rFonts w:cs="Arial"/>
          <w:sz w:val="32"/>
          <w:szCs w:val="32"/>
        </w:rPr>
      </w:pPr>
    </w:p>
    <w:p w:rsidR="002C1FEE" w:rsidRDefault="002C1FEE" w:rsidP="00005826">
      <w:pPr>
        <w:keepLines/>
        <w:spacing w:before="120" w:after="120"/>
        <w:jc w:val="center"/>
        <w:rPr>
          <w:rFonts w:cs="Arial"/>
          <w:sz w:val="32"/>
          <w:szCs w:val="32"/>
        </w:rPr>
      </w:pPr>
    </w:p>
    <w:p w:rsidR="00AC0DA4" w:rsidRPr="00F14F91" w:rsidRDefault="00457D8F" w:rsidP="00005826">
      <w:pPr>
        <w:pStyle w:val="Indice"/>
        <w:rPr>
          <w:rFonts w:ascii="Arial" w:hAnsi="Arial" w:cs="Arial"/>
          <w:sz w:val="24"/>
        </w:rPr>
      </w:pPr>
      <w:r w:rsidRPr="00457D8F">
        <w:rPr>
          <w:noProof/>
        </w:rPr>
        <w:pict>
          <v:rect id="_x0000_s1027" style="position:absolute;left:0;text-align:left;margin-left:236.45pt;margin-top:306pt;width:9pt;height:18pt;z-index:251657216" stroked="f"/>
        </w:pict>
      </w:r>
      <w:r w:rsidR="00AC0DA4" w:rsidRPr="00F14F91">
        <w:br w:type="page"/>
      </w:r>
      <w:r w:rsidR="00AC0DA4" w:rsidRPr="00F14F91">
        <w:rPr>
          <w:rFonts w:ascii="Arial" w:hAnsi="Arial" w:cs="Arial"/>
          <w:sz w:val="24"/>
        </w:rPr>
        <w:lastRenderedPageBreak/>
        <w:t>indice</w:t>
      </w:r>
    </w:p>
    <w:p w:rsidR="00AC0DA4" w:rsidRPr="00F14F91" w:rsidRDefault="00AC0DA4" w:rsidP="0043639F"/>
    <w:p w:rsidR="00AC0DA4" w:rsidRPr="004674B4" w:rsidRDefault="00457D8F" w:rsidP="004674B4">
      <w:pPr>
        <w:pStyle w:val="Sommario1"/>
        <w:tabs>
          <w:tab w:val="right" w:leader="dot" w:pos="9628"/>
        </w:tabs>
        <w:spacing w:line="360" w:lineRule="auto"/>
        <w:rPr>
          <w:rFonts w:ascii="Times New Roman" w:hAnsi="Times New Roman"/>
          <w:i/>
          <w:noProof/>
          <w:sz w:val="32"/>
        </w:rPr>
      </w:pPr>
      <w:r w:rsidRPr="004674B4">
        <w:rPr>
          <w:i/>
          <w:sz w:val="24"/>
        </w:rPr>
        <w:fldChar w:fldCharType="begin"/>
      </w:r>
      <w:r w:rsidR="00AC0DA4" w:rsidRPr="004674B4">
        <w:rPr>
          <w:i/>
          <w:sz w:val="24"/>
        </w:rPr>
        <w:instrText xml:space="preserve"> TOC \o "1-1" \h \z \u </w:instrText>
      </w:r>
      <w:r w:rsidRPr="004674B4">
        <w:rPr>
          <w:i/>
          <w:sz w:val="24"/>
        </w:rPr>
        <w:fldChar w:fldCharType="separate"/>
      </w:r>
      <w:hyperlink w:anchor="_Toc254614744" w:history="1">
        <w:r w:rsidR="00AC0DA4" w:rsidRPr="004674B4">
          <w:rPr>
            <w:rStyle w:val="Collegamentoipertestuale"/>
            <w:noProof/>
            <w:sz w:val="24"/>
          </w:rPr>
          <w:t>Articolo 1.</w:t>
        </w:r>
        <w:r w:rsidR="00AC0DA4" w:rsidRPr="004674B4">
          <w:rPr>
            <w:rStyle w:val="Collegamentoipertestuale"/>
            <w:i/>
            <w:noProof/>
            <w:sz w:val="24"/>
          </w:rPr>
          <w:t xml:space="preserve"> Definizioni</w:t>
        </w:r>
        <w:r w:rsidR="00AC0DA4" w:rsidRPr="004674B4">
          <w:rPr>
            <w:i/>
            <w:noProof/>
            <w:webHidden/>
            <w:sz w:val="24"/>
          </w:rPr>
          <w:tab/>
          <w:t>4</w:t>
        </w:r>
      </w:hyperlink>
    </w:p>
    <w:p w:rsidR="00AC0DA4" w:rsidRPr="004674B4" w:rsidRDefault="00457D8F" w:rsidP="004674B4">
      <w:pPr>
        <w:pStyle w:val="Sommario1"/>
        <w:tabs>
          <w:tab w:val="right" w:leader="dot" w:pos="9628"/>
        </w:tabs>
        <w:spacing w:line="360" w:lineRule="auto"/>
        <w:rPr>
          <w:rFonts w:ascii="Times New Roman" w:hAnsi="Times New Roman"/>
          <w:i/>
          <w:noProof/>
          <w:sz w:val="32"/>
        </w:rPr>
      </w:pPr>
      <w:hyperlink w:anchor="_Toc254614745" w:history="1">
        <w:r w:rsidR="00AC0DA4" w:rsidRPr="004674B4">
          <w:rPr>
            <w:rStyle w:val="Collegamentoipertestuale"/>
            <w:noProof/>
            <w:sz w:val="24"/>
          </w:rPr>
          <w:t>Articolo 2</w:t>
        </w:r>
        <w:r w:rsidR="00AC0DA4" w:rsidRPr="004674B4">
          <w:rPr>
            <w:rStyle w:val="Collegamentoipertestuale"/>
            <w:i/>
            <w:noProof/>
            <w:sz w:val="24"/>
          </w:rPr>
          <w:t>. Durata e oggetto</w:t>
        </w:r>
        <w:r w:rsidR="00AC0DA4" w:rsidRPr="004674B4">
          <w:rPr>
            <w:i/>
            <w:noProof/>
            <w:webHidden/>
            <w:sz w:val="24"/>
          </w:rPr>
          <w:tab/>
          <w:t>4</w:t>
        </w:r>
      </w:hyperlink>
    </w:p>
    <w:p w:rsidR="00AC0DA4" w:rsidRPr="004674B4" w:rsidRDefault="00457D8F" w:rsidP="004674B4">
      <w:pPr>
        <w:pStyle w:val="Sommario1"/>
        <w:tabs>
          <w:tab w:val="right" w:leader="dot" w:pos="9628"/>
        </w:tabs>
        <w:spacing w:line="360" w:lineRule="auto"/>
        <w:rPr>
          <w:rFonts w:ascii="Times New Roman" w:hAnsi="Times New Roman"/>
          <w:i/>
          <w:noProof/>
          <w:sz w:val="32"/>
        </w:rPr>
      </w:pPr>
      <w:hyperlink w:anchor="_Toc254614746" w:history="1">
        <w:r w:rsidR="00AC0DA4" w:rsidRPr="004674B4">
          <w:rPr>
            <w:rStyle w:val="Collegamentoipertestuale"/>
            <w:noProof/>
            <w:sz w:val="24"/>
          </w:rPr>
          <w:t>Articolo 3</w:t>
        </w:r>
        <w:r w:rsidR="00AC0DA4" w:rsidRPr="004674B4">
          <w:rPr>
            <w:rStyle w:val="Collegamentoipertestuale"/>
            <w:i/>
            <w:noProof/>
            <w:sz w:val="24"/>
          </w:rPr>
          <w:t>. Impegni istituzionali dell’Agenzia</w:t>
        </w:r>
        <w:r w:rsidR="00AC0DA4" w:rsidRPr="004674B4">
          <w:rPr>
            <w:i/>
            <w:noProof/>
            <w:webHidden/>
            <w:sz w:val="24"/>
          </w:rPr>
          <w:tab/>
        </w:r>
        <w:r w:rsidR="00AC0DA4">
          <w:rPr>
            <w:i/>
            <w:noProof/>
            <w:webHidden/>
            <w:sz w:val="24"/>
          </w:rPr>
          <w:t>5</w:t>
        </w:r>
      </w:hyperlink>
    </w:p>
    <w:p w:rsidR="00AC0DA4" w:rsidRPr="004674B4" w:rsidRDefault="00457D8F" w:rsidP="004674B4">
      <w:pPr>
        <w:pStyle w:val="Sommario1"/>
        <w:tabs>
          <w:tab w:val="right" w:leader="dot" w:pos="9628"/>
        </w:tabs>
        <w:spacing w:line="360" w:lineRule="auto"/>
        <w:rPr>
          <w:rFonts w:ascii="Times New Roman" w:hAnsi="Times New Roman"/>
          <w:i/>
          <w:noProof/>
          <w:sz w:val="32"/>
        </w:rPr>
      </w:pPr>
      <w:hyperlink w:anchor="_Toc254614747" w:history="1">
        <w:r w:rsidR="00AC0DA4" w:rsidRPr="004674B4">
          <w:rPr>
            <w:rStyle w:val="Collegamentoipertestuale"/>
            <w:noProof/>
            <w:sz w:val="24"/>
          </w:rPr>
          <w:t>Articolo 4</w:t>
        </w:r>
        <w:r w:rsidR="00AC0DA4" w:rsidRPr="004674B4">
          <w:rPr>
            <w:rStyle w:val="Collegamentoipertestuale"/>
            <w:i/>
            <w:noProof/>
            <w:sz w:val="24"/>
          </w:rPr>
          <w:t>. Impegni istituzionali del Ministero</w:t>
        </w:r>
        <w:r w:rsidR="00AC0DA4" w:rsidRPr="004674B4">
          <w:rPr>
            <w:i/>
            <w:noProof/>
            <w:webHidden/>
            <w:sz w:val="24"/>
          </w:rPr>
          <w:tab/>
          <w:t>6</w:t>
        </w:r>
      </w:hyperlink>
    </w:p>
    <w:p w:rsidR="00AC0DA4" w:rsidRPr="004674B4" w:rsidRDefault="00457D8F" w:rsidP="004674B4">
      <w:pPr>
        <w:pStyle w:val="Sommario1"/>
        <w:tabs>
          <w:tab w:val="right" w:leader="dot" w:pos="9628"/>
        </w:tabs>
        <w:spacing w:line="360" w:lineRule="auto"/>
        <w:rPr>
          <w:rFonts w:ascii="Times New Roman" w:hAnsi="Times New Roman"/>
          <w:i/>
          <w:noProof/>
          <w:sz w:val="32"/>
        </w:rPr>
      </w:pPr>
      <w:hyperlink w:anchor="_Toc254614748" w:history="1">
        <w:r w:rsidR="00AC0DA4" w:rsidRPr="004674B4">
          <w:rPr>
            <w:rStyle w:val="Collegamentoipertestuale"/>
            <w:noProof/>
            <w:sz w:val="24"/>
          </w:rPr>
          <w:t>Articolo 5.</w:t>
        </w:r>
        <w:r w:rsidR="00AC0DA4" w:rsidRPr="004674B4">
          <w:rPr>
            <w:rStyle w:val="Collegamentoipertestuale"/>
            <w:i/>
            <w:noProof/>
            <w:sz w:val="24"/>
          </w:rPr>
          <w:t xml:space="preserve"> Modifiche della Convenzione</w:t>
        </w:r>
        <w:r w:rsidR="00AC0DA4" w:rsidRPr="004674B4">
          <w:rPr>
            <w:i/>
            <w:noProof/>
            <w:webHidden/>
            <w:sz w:val="24"/>
          </w:rPr>
          <w:tab/>
        </w:r>
        <w:r w:rsidR="00AC0DA4">
          <w:rPr>
            <w:i/>
            <w:noProof/>
            <w:webHidden/>
            <w:sz w:val="24"/>
          </w:rPr>
          <w:t>9</w:t>
        </w:r>
      </w:hyperlink>
    </w:p>
    <w:p w:rsidR="00AC0DA4" w:rsidRPr="004674B4" w:rsidRDefault="00457D8F" w:rsidP="004674B4">
      <w:pPr>
        <w:pStyle w:val="Sommario1"/>
        <w:tabs>
          <w:tab w:val="right" w:leader="dot" w:pos="9628"/>
        </w:tabs>
        <w:spacing w:line="360" w:lineRule="auto"/>
        <w:rPr>
          <w:rFonts w:ascii="Times New Roman" w:hAnsi="Times New Roman"/>
          <w:noProof/>
          <w:sz w:val="24"/>
        </w:rPr>
      </w:pPr>
      <w:hyperlink w:anchor="_Toc254614749" w:history="1">
        <w:r w:rsidR="00AC0DA4" w:rsidRPr="004674B4">
          <w:rPr>
            <w:rStyle w:val="Collegamentoipertestuale"/>
            <w:noProof/>
            <w:sz w:val="24"/>
          </w:rPr>
          <w:t>Articolo 6.</w:t>
        </w:r>
        <w:r w:rsidR="00AC0DA4" w:rsidRPr="004674B4">
          <w:rPr>
            <w:rStyle w:val="Collegamentoipertestuale"/>
            <w:i/>
            <w:noProof/>
            <w:sz w:val="24"/>
          </w:rPr>
          <w:t xml:space="preserve"> Controversie</w:t>
        </w:r>
        <w:r w:rsidR="00AC0DA4" w:rsidRPr="004674B4">
          <w:rPr>
            <w:i/>
            <w:noProof/>
            <w:webHidden/>
            <w:sz w:val="24"/>
          </w:rPr>
          <w:tab/>
        </w:r>
        <w:r w:rsidR="00AC0DA4">
          <w:rPr>
            <w:i/>
            <w:noProof/>
            <w:webHidden/>
            <w:sz w:val="24"/>
          </w:rPr>
          <w:t>10</w:t>
        </w:r>
      </w:hyperlink>
    </w:p>
    <w:p w:rsidR="00AC0DA4" w:rsidRDefault="00457D8F" w:rsidP="004674B4">
      <w:pPr>
        <w:keepLines/>
        <w:spacing w:before="120"/>
        <w:rPr>
          <w:i/>
          <w:sz w:val="24"/>
        </w:rPr>
      </w:pPr>
      <w:r w:rsidRPr="004674B4">
        <w:rPr>
          <w:i/>
          <w:sz w:val="24"/>
        </w:rPr>
        <w:fldChar w:fldCharType="end"/>
      </w:r>
    </w:p>
    <w:p w:rsidR="00AC0DA4" w:rsidRPr="004674B4" w:rsidRDefault="00AC0DA4" w:rsidP="004674B4">
      <w:pPr>
        <w:keepLines/>
        <w:spacing w:before="120" w:line="360" w:lineRule="auto"/>
        <w:rPr>
          <w:i/>
          <w:sz w:val="24"/>
        </w:rPr>
      </w:pPr>
      <w:r w:rsidRPr="00F14F91">
        <w:rPr>
          <w:b/>
          <w:sz w:val="24"/>
        </w:rPr>
        <w:t>ALLEGATI</w:t>
      </w:r>
    </w:p>
    <w:p w:rsidR="00AC0DA4" w:rsidRPr="00BA379D" w:rsidRDefault="00AC0DA4" w:rsidP="004674B4">
      <w:pPr>
        <w:spacing w:line="360" w:lineRule="auto"/>
        <w:rPr>
          <w:i/>
          <w:sz w:val="24"/>
        </w:rPr>
      </w:pPr>
      <w:bookmarkStart w:id="0" w:name="_Toc211315884"/>
      <w:bookmarkStart w:id="1" w:name="_Toc26297078"/>
      <w:bookmarkStart w:id="2" w:name="_Toc26468232"/>
      <w:bookmarkStart w:id="3" w:name="_Toc37243878"/>
      <w:bookmarkStart w:id="4" w:name="_Toc38562927"/>
      <w:bookmarkStart w:id="5" w:name="_Toc64784392"/>
      <w:bookmarkStart w:id="6" w:name="_Toc64799707"/>
      <w:bookmarkStart w:id="7" w:name="_Toc65047166"/>
      <w:bookmarkStart w:id="8" w:name="_Toc92608864"/>
      <w:bookmarkStart w:id="9" w:name="_Toc121290138"/>
      <w:r w:rsidRPr="00BA379D">
        <w:rPr>
          <w:i/>
          <w:sz w:val="24"/>
        </w:rPr>
        <w:t>Allegato 1: Sistema di relazioni tra Ministero ed Agenzia</w:t>
      </w:r>
      <w:bookmarkEnd w:id="0"/>
    </w:p>
    <w:p w:rsidR="00AC0DA4" w:rsidRPr="00BA379D" w:rsidRDefault="00AC0DA4" w:rsidP="004674B4">
      <w:pPr>
        <w:spacing w:line="360" w:lineRule="auto"/>
        <w:rPr>
          <w:i/>
          <w:sz w:val="24"/>
        </w:rPr>
      </w:pPr>
      <w:bookmarkStart w:id="10" w:name="_Toc211315885"/>
      <w:r w:rsidRPr="00BA379D">
        <w:rPr>
          <w:i/>
          <w:sz w:val="24"/>
        </w:rPr>
        <w:t>Allegato 2: Piano dell’Agenzia</w:t>
      </w:r>
      <w:bookmarkEnd w:id="1"/>
      <w:bookmarkEnd w:id="2"/>
      <w:bookmarkEnd w:id="3"/>
      <w:bookmarkEnd w:id="4"/>
      <w:bookmarkEnd w:id="5"/>
      <w:bookmarkEnd w:id="6"/>
      <w:bookmarkEnd w:id="7"/>
      <w:bookmarkEnd w:id="8"/>
      <w:bookmarkEnd w:id="9"/>
      <w:bookmarkEnd w:id="10"/>
    </w:p>
    <w:p w:rsidR="00AC0DA4" w:rsidRPr="00BA379D" w:rsidRDefault="00AC0DA4" w:rsidP="004674B4">
      <w:pPr>
        <w:spacing w:line="360" w:lineRule="auto"/>
        <w:rPr>
          <w:i/>
          <w:sz w:val="24"/>
        </w:rPr>
      </w:pPr>
      <w:bookmarkStart w:id="11" w:name="_Toc26297079"/>
      <w:bookmarkStart w:id="12" w:name="_Toc26468233"/>
      <w:bookmarkStart w:id="13" w:name="_Toc37243879"/>
      <w:bookmarkStart w:id="14" w:name="_Toc38562928"/>
      <w:bookmarkStart w:id="15" w:name="_Toc64784393"/>
      <w:bookmarkStart w:id="16" w:name="_Toc64799708"/>
      <w:bookmarkStart w:id="17" w:name="_Toc65047167"/>
      <w:bookmarkStart w:id="18" w:name="_Toc92608865"/>
      <w:bookmarkStart w:id="19" w:name="_Toc121290139"/>
      <w:bookmarkStart w:id="20" w:name="_Toc211315886"/>
      <w:r w:rsidRPr="00BA379D">
        <w:rPr>
          <w:i/>
          <w:sz w:val="24"/>
        </w:rPr>
        <w:t>Allegato 3: Sistema incentivante</w:t>
      </w:r>
      <w:bookmarkEnd w:id="11"/>
      <w:bookmarkEnd w:id="12"/>
      <w:bookmarkEnd w:id="13"/>
      <w:bookmarkEnd w:id="14"/>
      <w:bookmarkEnd w:id="15"/>
      <w:bookmarkEnd w:id="16"/>
      <w:bookmarkEnd w:id="17"/>
      <w:bookmarkEnd w:id="18"/>
      <w:bookmarkEnd w:id="19"/>
      <w:bookmarkEnd w:id="20"/>
    </w:p>
    <w:p w:rsidR="00AC0DA4" w:rsidRPr="00BA379D" w:rsidRDefault="00AC0DA4" w:rsidP="004674B4">
      <w:pPr>
        <w:spacing w:line="360" w:lineRule="auto"/>
        <w:rPr>
          <w:i/>
          <w:sz w:val="24"/>
        </w:rPr>
      </w:pPr>
      <w:bookmarkStart w:id="21" w:name="_Toc26297080"/>
      <w:bookmarkStart w:id="22" w:name="_Toc26468234"/>
      <w:bookmarkStart w:id="23" w:name="_Toc37243880"/>
      <w:bookmarkStart w:id="24" w:name="_Toc38562929"/>
      <w:bookmarkStart w:id="25" w:name="_Toc64784394"/>
      <w:bookmarkStart w:id="26" w:name="_Toc64799709"/>
      <w:bookmarkStart w:id="27" w:name="_Toc65047168"/>
      <w:bookmarkStart w:id="28" w:name="_Toc92608866"/>
      <w:bookmarkStart w:id="29" w:name="_Toc121290140"/>
      <w:bookmarkStart w:id="30" w:name="_Toc211315887"/>
      <w:r w:rsidRPr="00BA379D">
        <w:rPr>
          <w:i/>
          <w:sz w:val="24"/>
        </w:rPr>
        <w:t xml:space="preserve">Allegato 4: </w:t>
      </w:r>
      <w:bookmarkEnd w:id="21"/>
      <w:bookmarkEnd w:id="22"/>
      <w:bookmarkEnd w:id="23"/>
      <w:bookmarkEnd w:id="24"/>
      <w:bookmarkEnd w:id="25"/>
      <w:bookmarkEnd w:id="26"/>
      <w:bookmarkEnd w:id="27"/>
      <w:bookmarkEnd w:id="28"/>
      <w:bookmarkEnd w:id="29"/>
      <w:bookmarkEnd w:id="30"/>
      <w:r w:rsidRPr="00BA379D">
        <w:rPr>
          <w:i/>
          <w:sz w:val="24"/>
        </w:rPr>
        <w:t>Monitoraggio della gestione e verifica dei risultati</w:t>
      </w:r>
    </w:p>
    <w:p w:rsidR="00AC0DA4" w:rsidRPr="00F14F91" w:rsidRDefault="00AC0DA4" w:rsidP="004674B4">
      <w:pPr>
        <w:spacing w:line="360" w:lineRule="auto"/>
        <w:rPr>
          <w:sz w:val="24"/>
        </w:rPr>
      </w:pPr>
      <w:r w:rsidRPr="00F14F91">
        <w:rPr>
          <w:sz w:val="24"/>
        </w:rPr>
        <w:br w:type="page"/>
      </w:r>
      <w:r w:rsidRPr="00F14F91">
        <w:rPr>
          <w:sz w:val="24"/>
        </w:rPr>
        <w:lastRenderedPageBreak/>
        <w:t>Il Ministro dell’Economia e delle Finanze</w:t>
      </w:r>
    </w:p>
    <w:p w:rsidR="00AC0DA4" w:rsidRPr="00F14F91" w:rsidRDefault="00AC0DA4" w:rsidP="004674B4">
      <w:pPr>
        <w:spacing w:line="360" w:lineRule="auto"/>
        <w:rPr>
          <w:sz w:val="24"/>
        </w:rPr>
      </w:pPr>
      <w:r w:rsidRPr="00F14F91">
        <w:rPr>
          <w:sz w:val="24"/>
        </w:rPr>
        <w:t>L’Agenzia delle Entrate, rappresentata dal Direttore,</w:t>
      </w:r>
    </w:p>
    <w:p w:rsidR="00AC0DA4" w:rsidRPr="00F14F91" w:rsidRDefault="00AC0DA4" w:rsidP="003A6175">
      <w:pPr>
        <w:keepLines/>
        <w:spacing w:before="120" w:after="120"/>
        <w:ind w:left="357" w:hanging="357"/>
        <w:rPr>
          <w:b/>
          <w:sz w:val="24"/>
        </w:rPr>
      </w:pPr>
    </w:p>
    <w:p w:rsidR="00AC0DA4" w:rsidRPr="00F14F91" w:rsidRDefault="00AC0DA4" w:rsidP="003A6175">
      <w:pPr>
        <w:keepLines/>
        <w:spacing w:before="120" w:after="120"/>
        <w:ind w:left="357" w:hanging="357"/>
        <w:rPr>
          <w:sz w:val="24"/>
        </w:rPr>
      </w:pPr>
    </w:p>
    <w:p w:rsidR="00AC0DA4" w:rsidRPr="00F14F91" w:rsidRDefault="00AC0DA4" w:rsidP="003A6175">
      <w:pPr>
        <w:keepLines/>
        <w:spacing w:before="120" w:after="120"/>
        <w:ind w:left="357" w:hanging="357"/>
        <w:rPr>
          <w:sz w:val="24"/>
        </w:rPr>
      </w:pPr>
    </w:p>
    <w:p w:rsidR="00AC0DA4" w:rsidRPr="00F14F91" w:rsidRDefault="00AC0DA4" w:rsidP="003A6175">
      <w:pPr>
        <w:keepLines/>
        <w:spacing w:before="120" w:after="120"/>
        <w:ind w:left="357" w:hanging="357"/>
        <w:rPr>
          <w:sz w:val="24"/>
        </w:rPr>
      </w:pPr>
    </w:p>
    <w:p w:rsidR="00AC0DA4" w:rsidRPr="00F14F91" w:rsidRDefault="00AC0DA4" w:rsidP="003A6175">
      <w:pPr>
        <w:keepLines/>
        <w:spacing w:before="120" w:after="120"/>
        <w:ind w:left="357" w:hanging="357"/>
        <w:rPr>
          <w:sz w:val="24"/>
        </w:rPr>
      </w:pPr>
    </w:p>
    <w:p w:rsidR="00AC0DA4" w:rsidRPr="00F14F91" w:rsidRDefault="00AC0DA4" w:rsidP="003A6175">
      <w:pPr>
        <w:jc w:val="center"/>
        <w:rPr>
          <w:sz w:val="24"/>
        </w:rPr>
      </w:pPr>
      <w:r w:rsidRPr="00F14F91">
        <w:rPr>
          <w:sz w:val="24"/>
        </w:rPr>
        <w:t>STIPULANO E CONVENGONO QUANTO SEGUE:</w:t>
      </w:r>
    </w:p>
    <w:p w:rsidR="00AC0DA4" w:rsidRPr="00F14F91" w:rsidRDefault="00AC0DA4" w:rsidP="003A6175">
      <w:pPr>
        <w:jc w:val="center"/>
        <w:rPr>
          <w:sz w:val="24"/>
        </w:rPr>
      </w:pPr>
    </w:p>
    <w:p w:rsidR="00AC0DA4" w:rsidRPr="00F14F91" w:rsidRDefault="00AC0DA4" w:rsidP="00540544">
      <w:pPr>
        <w:rPr>
          <w:rFonts w:cs="Arial"/>
          <w:sz w:val="24"/>
        </w:rPr>
      </w:pPr>
      <w:r w:rsidRPr="00F14F91">
        <w:br w:type="page"/>
      </w:r>
      <w:bookmarkStart w:id="31" w:name="_Toc211315864"/>
      <w:bookmarkStart w:id="32" w:name="_Toc232570441"/>
    </w:p>
    <w:p w:rsidR="00AC0DA4" w:rsidRPr="007D22B0" w:rsidRDefault="00AC0DA4" w:rsidP="00540544">
      <w:pPr>
        <w:pStyle w:val="articolo0"/>
        <w:spacing w:before="120"/>
        <w:jc w:val="center"/>
        <w:rPr>
          <w:rFonts w:ascii="Arial (W1)" w:hAnsi="Arial (W1)"/>
          <w:i/>
          <w:iCs/>
        </w:rPr>
      </w:pPr>
      <w:r w:rsidRPr="004674B4">
        <w:rPr>
          <w:rFonts w:ascii="Arial (W1)" w:hAnsi="Arial (W1)"/>
        </w:rPr>
        <w:lastRenderedPageBreak/>
        <w:t>Articolo 1</w:t>
      </w:r>
      <w:r w:rsidRPr="00F14F91">
        <w:br/>
      </w:r>
      <w:r w:rsidRPr="007D22B0">
        <w:rPr>
          <w:rFonts w:ascii="Arial (W1)" w:hAnsi="Arial (W1)"/>
          <w:i/>
          <w:iCs/>
        </w:rPr>
        <w:t>Definizioni</w:t>
      </w:r>
    </w:p>
    <w:p w:rsidR="00AC0DA4" w:rsidRPr="00F14F91" w:rsidRDefault="00AC0DA4" w:rsidP="007D22B0">
      <w:pPr>
        <w:spacing w:before="240"/>
        <w:rPr>
          <w:sz w:val="24"/>
        </w:rPr>
      </w:pPr>
      <w:r w:rsidRPr="00F14F91">
        <w:rPr>
          <w:sz w:val="24"/>
        </w:rPr>
        <w:t>1.  Ai sensi della presente Convenzione si intendono:</w:t>
      </w:r>
    </w:p>
    <w:p w:rsidR="00A12ED5" w:rsidRDefault="00AC0DA4" w:rsidP="00A12ED5">
      <w:pPr>
        <w:pStyle w:val="Corpodeltesto"/>
        <w:numPr>
          <w:ilvl w:val="0"/>
          <w:numId w:val="2"/>
        </w:numPr>
        <w:autoSpaceDN/>
        <w:spacing w:before="240"/>
        <w:ind w:left="720" w:hanging="360"/>
      </w:pPr>
      <w:r w:rsidRPr="00F14F91">
        <w:t>Ministro: Ministro dell’Economia e delle Finanze;</w:t>
      </w:r>
    </w:p>
    <w:p w:rsidR="00AC0DA4" w:rsidRPr="00F14F91" w:rsidRDefault="00AC0DA4" w:rsidP="00A12ED5">
      <w:pPr>
        <w:pStyle w:val="Corpodeltesto"/>
        <w:numPr>
          <w:ilvl w:val="0"/>
          <w:numId w:val="2"/>
        </w:numPr>
        <w:autoSpaceDN/>
        <w:spacing w:before="240"/>
        <w:ind w:left="720" w:hanging="360"/>
      </w:pPr>
      <w:r w:rsidRPr="00F14F91">
        <w:t>Ministero: Ministero dell’Economia e delle Finanze nelle sue articolazioni       centrali;</w:t>
      </w:r>
    </w:p>
    <w:p w:rsidR="00AC0DA4" w:rsidRPr="00F14F91" w:rsidRDefault="00AC0DA4" w:rsidP="007D22B0">
      <w:pPr>
        <w:pStyle w:val="Corpodeltesto"/>
        <w:numPr>
          <w:ilvl w:val="0"/>
          <w:numId w:val="2"/>
        </w:numPr>
        <w:autoSpaceDN/>
        <w:spacing w:before="240"/>
        <w:ind w:left="720" w:hanging="360"/>
      </w:pPr>
      <w:r w:rsidRPr="00F14F91">
        <w:t>Direttore dell’Agenzia: Direttore dell’Agenzia delle Entrate;</w:t>
      </w:r>
    </w:p>
    <w:p w:rsidR="00AC0DA4" w:rsidRPr="00F14F91" w:rsidRDefault="00AC0DA4" w:rsidP="007D22B0">
      <w:pPr>
        <w:pStyle w:val="Corpodeltesto"/>
        <w:numPr>
          <w:ilvl w:val="0"/>
          <w:numId w:val="2"/>
        </w:numPr>
        <w:autoSpaceDN/>
        <w:spacing w:before="240"/>
        <w:ind w:left="720" w:hanging="360"/>
      </w:pPr>
      <w:r w:rsidRPr="00F14F91">
        <w:t>Agenzia: Agenzia delle Entrate;</w:t>
      </w:r>
    </w:p>
    <w:p w:rsidR="00AC0DA4" w:rsidRPr="00F14F91" w:rsidRDefault="00AC0DA4" w:rsidP="007D22B0">
      <w:pPr>
        <w:pStyle w:val="Corpodeltesto"/>
        <w:numPr>
          <w:ilvl w:val="0"/>
          <w:numId w:val="2"/>
        </w:numPr>
        <w:autoSpaceDN/>
        <w:spacing w:before="240"/>
        <w:ind w:left="720" w:hanging="360"/>
      </w:pPr>
      <w:r w:rsidRPr="00F14F91">
        <w:t>Dipartimento: Dipartimento delle Finanze;</w:t>
      </w:r>
    </w:p>
    <w:p w:rsidR="00AC0DA4" w:rsidRDefault="00AC0DA4" w:rsidP="007D22B0">
      <w:pPr>
        <w:pStyle w:val="Corpodeltesto"/>
        <w:numPr>
          <w:ilvl w:val="0"/>
          <w:numId w:val="2"/>
        </w:numPr>
        <w:autoSpaceDN/>
        <w:spacing w:before="240"/>
        <w:ind w:left="720" w:hanging="360"/>
      </w:pPr>
      <w:proofErr w:type="spellStart"/>
      <w:r>
        <w:t>D.</w:t>
      </w:r>
      <w:r w:rsidRPr="00F14F91">
        <w:t>Lgs.</w:t>
      </w:r>
      <w:proofErr w:type="spellEnd"/>
      <w:r w:rsidRPr="00F14F91">
        <w:t xml:space="preserve"> 300/99: Decreto</w:t>
      </w:r>
      <w:r>
        <w:t xml:space="preserve"> L</w:t>
      </w:r>
      <w:r w:rsidRPr="00F14F91">
        <w:t>egislativo 30 luglio 1999, n. 300;</w:t>
      </w:r>
    </w:p>
    <w:p w:rsidR="00AC0DA4" w:rsidRPr="00F14F91" w:rsidRDefault="00AC0DA4" w:rsidP="00915F74">
      <w:pPr>
        <w:pStyle w:val="Corpodeltesto"/>
        <w:numPr>
          <w:ilvl w:val="0"/>
          <w:numId w:val="2"/>
        </w:numPr>
        <w:autoSpaceDN/>
        <w:spacing w:before="240"/>
        <w:ind w:left="720" w:hanging="360"/>
      </w:pPr>
      <w:r>
        <w:t>Legge finanziaria 2004: Legge 24</w:t>
      </w:r>
      <w:r w:rsidRPr="00F14F91">
        <w:t xml:space="preserve"> dicemb</w:t>
      </w:r>
      <w:r>
        <w:t>re 2003</w:t>
      </w:r>
      <w:r w:rsidRPr="00F14F91">
        <w:t xml:space="preserve">, n. </w:t>
      </w:r>
      <w:r>
        <w:t>350</w:t>
      </w:r>
      <w:r w:rsidRPr="00F14F91">
        <w:t>;</w:t>
      </w:r>
    </w:p>
    <w:p w:rsidR="00AC0DA4" w:rsidRPr="00F14F91" w:rsidRDefault="00AC0DA4" w:rsidP="007D22B0">
      <w:pPr>
        <w:pStyle w:val="Corpodeltesto"/>
        <w:numPr>
          <w:ilvl w:val="0"/>
          <w:numId w:val="2"/>
        </w:numPr>
        <w:autoSpaceDN/>
        <w:spacing w:before="240"/>
        <w:ind w:left="720" w:hanging="360"/>
      </w:pPr>
      <w:r w:rsidRPr="00F14F91">
        <w:t>Legge finanziaria 2006: Legge 23 dicembre 2005, n. 266;</w:t>
      </w:r>
    </w:p>
    <w:p w:rsidR="00A12ED5" w:rsidRDefault="00AC0DA4" w:rsidP="00A12ED5">
      <w:pPr>
        <w:pStyle w:val="Corpodeltesto"/>
        <w:numPr>
          <w:ilvl w:val="0"/>
          <w:numId w:val="2"/>
        </w:numPr>
        <w:autoSpaceDN/>
        <w:spacing w:before="240"/>
        <w:ind w:left="720" w:hanging="360"/>
      </w:pPr>
      <w:r w:rsidRPr="00F14F91">
        <w:t>Legge finanziaria 2007: Legge 27 dicembre 2006, n. 296;</w:t>
      </w:r>
    </w:p>
    <w:p w:rsidR="00A12ED5" w:rsidRDefault="00AC0DA4" w:rsidP="00425EC8">
      <w:pPr>
        <w:pStyle w:val="Corpodeltesto"/>
        <w:numPr>
          <w:ilvl w:val="0"/>
          <w:numId w:val="2"/>
        </w:numPr>
        <w:tabs>
          <w:tab w:val="clear" w:pos="1068"/>
          <w:tab w:val="num" w:pos="709"/>
        </w:tabs>
        <w:autoSpaceDN/>
        <w:spacing w:before="240"/>
        <w:ind w:left="709" w:hanging="349"/>
      </w:pPr>
      <w:r w:rsidRPr="009651E0">
        <w:t xml:space="preserve">D.L. 112/2008: Decreto Legge 25 giugno 2008, n. 112, convertito con modificazioni </w:t>
      </w:r>
      <w:r w:rsidR="00425EC8">
        <w:t xml:space="preserve">    </w:t>
      </w:r>
      <w:r w:rsidRPr="009651E0">
        <w:t>nella Legge 6 agosto 2008, n. 133;</w:t>
      </w:r>
    </w:p>
    <w:p w:rsidR="00A12ED5" w:rsidRDefault="00AC0DA4" w:rsidP="00425EC8">
      <w:pPr>
        <w:pStyle w:val="Corpodeltesto"/>
        <w:numPr>
          <w:ilvl w:val="0"/>
          <w:numId w:val="2"/>
        </w:numPr>
        <w:tabs>
          <w:tab w:val="clear" w:pos="1068"/>
          <w:tab w:val="num" w:pos="284"/>
        </w:tabs>
        <w:autoSpaceDN/>
        <w:spacing w:before="240"/>
        <w:ind w:left="709" w:hanging="349"/>
      </w:pPr>
      <w:r w:rsidRPr="009651E0">
        <w:t>D.L. 78/2010: Decreto Legge 31 maggio 2010, n. 78, convertito con modificazioni nella Legge 30 luglio 2010, n. 122;</w:t>
      </w:r>
    </w:p>
    <w:p w:rsidR="00A12ED5" w:rsidRDefault="00AC0DA4" w:rsidP="00A12ED5">
      <w:pPr>
        <w:pStyle w:val="Corpodeltesto"/>
        <w:numPr>
          <w:ilvl w:val="0"/>
          <w:numId w:val="2"/>
        </w:numPr>
        <w:tabs>
          <w:tab w:val="clear" w:pos="1068"/>
          <w:tab w:val="num" w:pos="284"/>
        </w:tabs>
        <w:autoSpaceDN/>
        <w:spacing w:before="240"/>
        <w:ind w:left="426" w:hanging="66"/>
      </w:pPr>
      <w:r w:rsidRPr="009651E0">
        <w:t>Legge di stabilità 2011: Legge 13 dicembre 2010, n. 220;</w:t>
      </w:r>
    </w:p>
    <w:p w:rsidR="00A12ED5" w:rsidRDefault="00AC0DA4" w:rsidP="00A12ED5">
      <w:pPr>
        <w:pStyle w:val="Corpodeltesto"/>
        <w:numPr>
          <w:ilvl w:val="0"/>
          <w:numId w:val="2"/>
        </w:numPr>
        <w:tabs>
          <w:tab w:val="clear" w:pos="1068"/>
          <w:tab w:val="num" w:pos="284"/>
        </w:tabs>
        <w:autoSpaceDN/>
        <w:spacing w:before="240"/>
        <w:ind w:left="426" w:hanging="66"/>
      </w:pPr>
      <w:r w:rsidRPr="009651E0">
        <w:t>Legge di bilancio 2011: Legge 13 dicembre 2010, n. 221;</w:t>
      </w:r>
    </w:p>
    <w:p w:rsidR="00AC0DA4" w:rsidRPr="00A12ED5" w:rsidRDefault="00AC0DA4" w:rsidP="00425EC8">
      <w:pPr>
        <w:pStyle w:val="Corpodeltesto"/>
        <w:numPr>
          <w:ilvl w:val="0"/>
          <w:numId w:val="2"/>
        </w:numPr>
        <w:tabs>
          <w:tab w:val="clear" w:pos="1068"/>
          <w:tab w:val="num" w:pos="284"/>
        </w:tabs>
        <w:autoSpaceDN/>
        <w:spacing w:before="240"/>
        <w:ind w:left="709" w:hanging="349"/>
      </w:pPr>
      <w:r w:rsidRPr="00A12ED5">
        <w:rPr>
          <w:rFonts w:cs="Arial"/>
        </w:rPr>
        <w:t>Atto di in</w:t>
      </w:r>
      <w:r w:rsidR="00801638">
        <w:rPr>
          <w:rFonts w:cs="Arial"/>
        </w:rPr>
        <w:t>dirizzo: Atto di indirizzo del S</w:t>
      </w:r>
      <w:r w:rsidRPr="00A12ED5">
        <w:rPr>
          <w:rFonts w:cs="Arial"/>
        </w:rPr>
        <w:t>ig. Ministro dell’Economia e delle Finanze per il conseguimento degli obiettivi di politica</w:t>
      </w:r>
      <w:r w:rsidR="00A12ED5">
        <w:rPr>
          <w:rFonts w:cs="Arial"/>
        </w:rPr>
        <w:t xml:space="preserve"> fiscale per gli anni 2011-2013.</w:t>
      </w:r>
    </w:p>
    <w:p w:rsidR="00AC0DA4" w:rsidRPr="00474F47" w:rsidRDefault="00AC0DA4" w:rsidP="003A6175">
      <w:pPr>
        <w:pStyle w:val="articolo0"/>
        <w:spacing w:before="120"/>
        <w:jc w:val="center"/>
      </w:pPr>
    </w:p>
    <w:p w:rsidR="00AC0DA4" w:rsidRPr="00F14F91" w:rsidRDefault="00AC0DA4" w:rsidP="003A6175">
      <w:pPr>
        <w:pStyle w:val="articolo0"/>
        <w:spacing w:before="120"/>
        <w:jc w:val="center"/>
      </w:pPr>
    </w:p>
    <w:p w:rsidR="00AC0DA4" w:rsidRPr="00F14F91" w:rsidRDefault="00AC0DA4" w:rsidP="00540544">
      <w:pPr>
        <w:jc w:val="center"/>
      </w:pPr>
      <w:r w:rsidRPr="00F14F91">
        <w:rPr>
          <w:rFonts w:cs="Arial"/>
          <w:b/>
          <w:bCs/>
          <w:smallCaps/>
          <w:sz w:val="24"/>
        </w:rPr>
        <w:t>Articolo 2</w:t>
      </w:r>
      <w:r w:rsidRPr="00F14F91">
        <w:br/>
      </w:r>
      <w:r w:rsidRPr="00F14F91">
        <w:rPr>
          <w:rFonts w:cs="Arial"/>
          <w:b/>
          <w:bCs/>
          <w:i/>
          <w:iCs/>
          <w:smallCaps/>
          <w:sz w:val="24"/>
        </w:rPr>
        <w:t>Durata e oggetto</w:t>
      </w:r>
    </w:p>
    <w:p w:rsidR="00AC0DA4" w:rsidRPr="004A5227" w:rsidRDefault="00AC0DA4" w:rsidP="00E43D0C">
      <w:pPr>
        <w:keepLines/>
        <w:tabs>
          <w:tab w:val="left" w:pos="284"/>
        </w:tabs>
        <w:spacing w:before="240" w:line="360" w:lineRule="auto"/>
        <w:ind w:left="284" w:hanging="284"/>
        <w:jc w:val="both"/>
        <w:rPr>
          <w:rFonts w:cs="Arial"/>
          <w:sz w:val="24"/>
        </w:rPr>
      </w:pPr>
      <w:r w:rsidRPr="00F14F91">
        <w:rPr>
          <w:sz w:val="24"/>
        </w:rPr>
        <w:t xml:space="preserve">1.  </w:t>
      </w:r>
      <w:smartTag w:uri="urn:schemas-microsoft-com:office:smarttags" w:element="PersonName">
        <w:smartTagPr>
          <w:attr w:name="ProductID" w:val="La presente Convenzione"/>
        </w:smartTagPr>
        <w:r w:rsidRPr="00F14F91">
          <w:rPr>
            <w:sz w:val="24"/>
          </w:rPr>
          <w:t>La presente Convenzione</w:t>
        </w:r>
      </w:smartTag>
      <w:r w:rsidRPr="00F14F91">
        <w:rPr>
          <w:sz w:val="24"/>
        </w:rPr>
        <w:t xml:space="preserve"> r</w:t>
      </w:r>
      <w:r>
        <w:rPr>
          <w:sz w:val="24"/>
        </w:rPr>
        <w:t xml:space="preserve">egola, per il </w:t>
      </w:r>
      <w:r w:rsidRPr="009651E0">
        <w:rPr>
          <w:sz w:val="24"/>
        </w:rPr>
        <w:t>periodo 01</w:t>
      </w:r>
      <w:r w:rsidR="00A12ED5">
        <w:rPr>
          <w:sz w:val="24"/>
        </w:rPr>
        <w:t>.</w:t>
      </w:r>
      <w:r w:rsidRPr="009651E0">
        <w:rPr>
          <w:sz w:val="24"/>
        </w:rPr>
        <w:t>01</w:t>
      </w:r>
      <w:r w:rsidR="00A12ED5">
        <w:rPr>
          <w:sz w:val="24"/>
        </w:rPr>
        <w:t>.</w:t>
      </w:r>
      <w:r w:rsidRPr="009651E0">
        <w:rPr>
          <w:sz w:val="24"/>
        </w:rPr>
        <w:t>2011 – 31</w:t>
      </w:r>
      <w:r w:rsidR="00A12ED5">
        <w:rPr>
          <w:sz w:val="24"/>
        </w:rPr>
        <w:t>.</w:t>
      </w:r>
      <w:r w:rsidRPr="009651E0">
        <w:rPr>
          <w:sz w:val="24"/>
        </w:rPr>
        <w:t>12</w:t>
      </w:r>
      <w:r w:rsidR="00A12ED5">
        <w:rPr>
          <w:sz w:val="24"/>
        </w:rPr>
        <w:t>.</w:t>
      </w:r>
      <w:r w:rsidRPr="009651E0">
        <w:rPr>
          <w:sz w:val="24"/>
        </w:rPr>
        <w:t>2013,</w:t>
      </w:r>
      <w:r w:rsidRPr="00F14F91">
        <w:rPr>
          <w:sz w:val="24"/>
        </w:rPr>
        <w:t xml:space="preserve"> i rapporti tra Ministero e Agenzia in attuazione dell'articolo 59, commi 2, 3 e 4</w:t>
      </w:r>
      <w:r w:rsidR="00A12ED5">
        <w:rPr>
          <w:sz w:val="24"/>
        </w:rPr>
        <w:t>,</w:t>
      </w:r>
      <w:r w:rsidR="00C02D64">
        <w:rPr>
          <w:sz w:val="24"/>
        </w:rPr>
        <w:t xml:space="preserve"> del </w:t>
      </w:r>
      <w:proofErr w:type="spellStart"/>
      <w:r w:rsidR="00C02D64">
        <w:rPr>
          <w:sz w:val="24"/>
        </w:rPr>
        <w:t>D.</w:t>
      </w:r>
      <w:r w:rsidRPr="00F14F91">
        <w:rPr>
          <w:sz w:val="24"/>
        </w:rPr>
        <w:t>Lgs.</w:t>
      </w:r>
      <w:proofErr w:type="spellEnd"/>
      <w:r w:rsidRPr="00F14F91">
        <w:rPr>
          <w:sz w:val="24"/>
        </w:rPr>
        <w:t xml:space="preserve"> 300/99 e degli indirizzi pluriennali contenuti nell'Atto di indirizzo.</w:t>
      </w:r>
      <w:r>
        <w:rPr>
          <w:sz w:val="24"/>
        </w:rPr>
        <w:t xml:space="preserve"> </w:t>
      </w:r>
    </w:p>
    <w:p w:rsidR="00AC0DA4" w:rsidRPr="00F14F91" w:rsidRDefault="00AC0DA4" w:rsidP="007D22B0">
      <w:pPr>
        <w:spacing w:before="240" w:line="360" w:lineRule="auto"/>
        <w:ind w:left="284" w:hanging="284"/>
        <w:jc w:val="both"/>
        <w:rPr>
          <w:sz w:val="24"/>
        </w:rPr>
      </w:pPr>
    </w:p>
    <w:p w:rsidR="00AC0DA4" w:rsidRPr="00F14F91" w:rsidRDefault="00AC0DA4" w:rsidP="007D22B0">
      <w:pPr>
        <w:spacing w:before="240" w:line="360" w:lineRule="auto"/>
        <w:ind w:left="284" w:hanging="284"/>
        <w:jc w:val="both"/>
        <w:rPr>
          <w:sz w:val="24"/>
        </w:rPr>
      </w:pPr>
      <w:r w:rsidRPr="00F14F91">
        <w:rPr>
          <w:sz w:val="24"/>
        </w:rPr>
        <w:lastRenderedPageBreak/>
        <w:t xml:space="preserve">2.  </w:t>
      </w:r>
      <w:smartTag w:uri="urn:schemas-microsoft-com:office:smarttags" w:element="PersonName">
        <w:smartTagPr>
          <w:attr w:name="ProductID" w:val="La Convenzione"/>
        </w:smartTagPr>
        <w:r w:rsidRPr="00F14F91">
          <w:rPr>
            <w:sz w:val="24"/>
          </w:rPr>
          <w:t>La Convenzione</w:t>
        </w:r>
      </w:smartTag>
      <w:r w:rsidRPr="00F14F91">
        <w:rPr>
          <w:sz w:val="24"/>
        </w:rPr>
        <w:t xml:space="preserve"> è composta dal presente articolato, dagli allegati “Sistema di relazioni tra Ministero ed Agenzia”, “Piano dell’Agenzia”, “Sistema incentivante” e “Monitoraggio della ges</w:t>
      </w:r>
      <w:r w:rsidR="004A01FE">
        <w:rPr>
          <w:sz w:val="24"/>
        </w:rPr>
        <w:t>tione e verifica dei risultati”</w:t>
      </w:r>
      <w:r w:rsidRPr="00F14F91">
        <w:rPr>
          <w:sz w:val="24"/>
        </w:rPr>
        <w:t xml:space="preserve"> che ne costituiscono parte integrante.</w:t>
      </w:r>
    </w:p>
    <w:p w:rsidR="00AC0DA4" w:rsidRDefault="00AC0DA4" w:rsidP="003A6175">
      <w:pPr>
        <w:pStyle w:val="articolo0"/>
        <w:spacing w:before="120"/>
        <w:jc w:val="center"/>
      </w:pPr>
    </w:p>
    <w:p w:rsidR="00AC0DA4" w:rsidRPr="00F14F91" w:rsidRDefault="00AC0DA4" w:rsidP="003A6175">
      <w:pPr>
        <w:pStyle w:val="articolo0"/>
        <w:spacing w:before="120"/>
        <w:jc w:val="center"/>
      </w:pPr>
    </w:p>
    <w:p w:rsidR="00AC0DA4" w:rsidRPr="00F14F91" w:rsidRDefault="00AC0DA4" w:rsidP="007D22B0">
      <w:pPr>
        <w:spacing w:before="120" w:after="120"/>
        <w:jc w:val="center"/>
      </w:pPr>
      <w:r w:rsidRPr="00F14F91">
        <w:rPr>
          <w:rFonts w:cs="Arial"/>
          <w:b/>
          <w:bCs/>
          <w:smallCaps/>
          <w:sz w:val="24"/>
        </w:rPr>
        <w:t>Articolo 3</w:t>
      </w:r>
      <w:r w:rsidRPr="00F14F91">
        <w:br/>
      </w:r>
      <w:r w:rsidRPr="00F14F91">
        <w:rPr>
          <w:rFonts w:cs="Arial"/>
          <w:b/>
          <w:bCs/>
          <w:i/>
          <w:iCs/>
          <w:smallCaps/>
          <w:sz w:val="24"/>
        </w:rPr>
        <w:t>Impegni istituzionali dell’Agenzia</w:t>
      </w:r>
    </w:p>
    <w:p w:rsidR="00AC0DA4" w:rsidRPr="00C02D64" w:rsidRDefault="00AC0DA4" w:rsidP="00C02D64">
      <w:pPr>
        <w:pStyle w:val="Paragrafoelenco"/>
        <w:numPr>
          <w:ilvl w:val="0"/>
          <w:numId w:val="24"/>
        </w:numPr>
        <w:spacing w:before="240" w:line="360" w:lineRule="auto"/>
        <w:ind w:left="426"/>
        <w:jc w:val="both"/>
        <w:rPr>
          <w:sz w:val="24"/>
        </w:rPr>
      </w:pPr>
      <w:r w:rsidRPr="00C02D64">
        <w:rPr>
          <w:sz w:val="24"/>
        </w:rPr>
        <w:t>L’Agenzia si impegna ad assicurare il conseguimento delle funzioni istituzionali p</w:t>
      </w:r>
      <w:r w:rsidR="00C02D64" w:rsidRPr="00C02D64">
        <w:rPr>
          <w:sz w:val="24"/>
        </w:rPr>
        <w:t xml:space="preserve">reviste dall’articolo 62 del </w:t>
      </w:r>
      <w:proofErr w:type="spellStart"/>
      <w:r w:rsidR="00C02D64" w:rsidRPr="00C02D64">
        <w:rPr>
          <w:sz w:val="24"/>
        </w:rPr>
        <w:t>D.L</w:t>
      </w:r>
      <w:r w:rsidRPr="00C02D64">
        <w:rPr>
          <w:sz w:val="24"/>
        </w:rPr>
        <w:t>gs</w:t>
      </w:r>
      <w:r w:rsidR="004A01FE" w:rsidRPr="00C02D64">
        <w:rPr>
          <w:sz w:val="24"/>
        </w:rPr>
        <w:t>.</w:t>
      </w:r>
      <w:proofErr w:type="spellEnd"/>
      <w:r w:rsidRPr="00C02D64">
        <w:rPr>
          <w:sz w:val="24"/>
        </w:rPr>
        <w:t xml:space="preserve"> 300/99 ed il conseguimento degli obiettivi strategici di politica fiscale e di gestione tributaria indicati nell’Atto di indirizzo.</w:t>
      </w:r>
    </w:p>
    <w:p w:rsidR="00AC0DA4" w:rsidRPr="00C02D64" w:rsidRDefault="00AC0DA4" w:rsidP="00C02D64">
      <w:pPr>
        <w:pStyle w:val="Paragrafoelenco"/>
        <w:numPr>
          <w:ilvl w:val="0"/>
          <w:numId w:val="24"/>
        </w:numPr>
        <w:spacing w:before="120" w:line="360" w:lineRule="auto"/>
        <w:ind w:left="426"/>
        <w:jc w:val="both"/>
        <w:rPr>
          <w:sz w:val="24"/>
        </w:rPr>
      </w:pPr>
      <w:r w:rsidRPr="00C02D64">
        <w:rPr>
          <w:sz w:val="24"/>
        </w:rPr>
        <w:t>In relazione a quanto previsto al comma precedente, l’Agenzia si impegna ad adottare le soluzioni tecniche ed organizzative più idonee per garantire:</w:t>
      </w:r>
    </w:p>
    <w:p w:rsidR="00AC0DA4" w:rsidRPr="00F14F91" w:rsidRDefault="00AC0DA4" w:rsidP="007D22B0">
      <w:pPr>
        <w:numPr>
          <w:ilvl w:val="0"/>
          <w:numId w:val="3"/>
        </w:numPr>
        <w:autoSpaceDN/>
        <w:spacing w:before="120" w:line="360" w:lineRule="auto"/>
        <w:jc w:val="both"/>
        <w:rPr>
          <w:sz w:val="24"/>
        </w:rPr>
      </w:pPr>
      <w:r w:rsidRPr="00F14F91">
        <w:rPr>
          <w:sz w:val="24"/>
        </w:rPr>
        <w:t>l’adempimento spontaneo degli obblighi tributari attraverso la semplificazione del rapporto con i contribuenti e la qualità dei servizi forniti;</w:t>
      </w:r>
      <w:r w:rsidRPr="00F14F91">
        <w:t xml:space="preserve"> </w:t>
      </w:r>
    </w:p>
    <w:p w:rsidR="00AC0DA4" w:rsidRPr="00F14F91" w:rsidRDefault="00AC0DA4" w:rsidP="007D22B0">
      <w:pPr>
        <w:numPr>
          <w:ilvl w:val="0"/>
          <w:numId w:val="3"/>
        </w:numPr>
        <w:autoSpaceDN/>
        <w:spacing w:before="120" w:line="360" w:lineRule="auto"/>
        <w:jc w:val="both"/>
        <w:rPr>
          <w:sz w:val="24"/>
        </w:rPr>
      </w:pPr>
      <w:r w:rsidRPr="00F14F91">
        <w:rPr>
          <w:sz w:val="24"/>
        </w:rPr>
        <w:t>l’efficacia dell’azione di contrasto all’evasione fiscale, migliorando la qualità dell’accertamento;</w:t>
      </w:r>
      <w:r w:rsidRPr="00F14F91">
        <w:t xml:space="preserve"> </w:t>
      </w:r>
    </w:p>
    <w:p w:rsidR="00AC0DA4" w:rsidRPr="00F14F91" w:rsidRDefault="00AC0DA4" w:rsidP="007D22B0">
      <w:pPr>
        <w:numPr>
          <w:ilvl w:val="0"/>
          <w:numId w:val="3"/>
        </w:numPr>
        <w:autoSpaceDN/>
        <w:spacing w:before="120" w:line="360" w:lineRule="auto"/>
        <w:jc w:val="both"/>
        <w:rPr>
          <w:sz w:val="24"/>
        </w:rPr>
      </w:pPr>
      <w:r w:rsidRPr="00F14F91">
        <w:rPr>
          <w:sz w:val="24"/>
        </w:rPr>
        <w:t>la semplificazione del sistema fiscale, anche con il coinvolgimento di tutti gli intermediari tributari e le associazioni di categoria;</w:t>
      </w:r>
      <w:r w:rsidRPr="00F14F91">
        <w:t xml:space="preserve"> </w:t>
      </w:r>
    </w:p>
    <w:p w:rsidR="00AC0DA4" w:rsidRPr="00F14F91" w:rsidRDefault="00AC0DA4" w:rsidP="007D22B0">
      <w:pPr>
        <w:numPr>
          <w:ilvl w:val="0"/>
          <w:numId w:val="3"/>
        </w:numPr>
        <w:autoSpaceDN/>
        <w:spacing w:before="120" w:line="360" w:lineRule="auto"/>
        <w:jc w:val="both"/>
        <w:rPr>
          <w:sz w:val="24"/>
        </w:rPr>
      </w:pPr>
      <w:r w:rsidRPr="00F14F91">
        <w:rPr>
          <w:sz w:val="24"/>
        </w:rPr>
        <w:t>il miglioramento dei servizi telematici, con l’obiettivo di assicurarne la fruibilità generalizzata anche agli utenti meno informatizzati;</w:t>
      </w:r>
      <w:r w:rsidRPr="00F14F91">
        <w:t xml:space="preserve"> </w:t>
      </w:r>
    </w:p>
    <w:p w:rsidR="00AC0DA4" w:rsidRPr="00F14F91" w:rsidRDefault="00AC0DA4" w:rsidP="007D22B0">
      <w:pPr>
        <w:numPr>
          <w:ilvl w:val="0"/>
          <w:numId w:val="3"/>
        </w:numPr>
        <w:autoSpaceDN/>
        <w:spacing w:before="120" w:line="360" w:lineRule="auto"/>
        <w:jc w:val="both"/>
        <w:rPr>
          <w:sz w:val="24"/>
        </w:rPr>
      </w:pPr>
      <w:r w:rsidRPr="00F14F91">
        <w:rPr>
          <w:sz w:val="24"/>
        </w:rPr>
        <w:t>il supporto tecnico al Dipartimento, ad altre strutture pubbliche e agli altri attori della fiscalità, impegnati a svolgere attività istituzionale in ambito internazionale;</w:t>
      </w:r>
    </w:p>
    <w:p w:rsidR="00AC0DA4" w:rsidRPr="00F14F91" w:rsidRDefault="00AC0DA4" w:rsidP="007D22B0">
      <w:pPr>
        <w:numPr>
          <w:ilvl w:val="0"/>
          <w:numId w:val="3"/>
        </w:numPr>
        <w:autoSpaceDN/>
        <w:spacing w:before="120" w:line="360" w:lineRule="auto"/>
        <w:jc w:val="both"/>
        <w:rPr>
          <w:sz w:val="24"/>
        </w:rPr>
      </w:pPr>
      <w:r w:rsidRPr="00F14F91">
        <w:rPr>
          <w:sz w:val="24"/>
        </w:rPr>
        <w:t>l’economicità dell’azione amministrativa attraverso la razionalizzazione dei presidi organizzativi a livello territoriale;</w:t>
      </w:r>
      <w:r w:rsidRPr="00F14F91">
        <w:t xml:space="preserve"> </w:t>
      </w:r>
    </w:p>
    <w:p w:rsidR="00AC0DA4" w:rsidRPr="00F14F91" w:rsidRDefault="00AC0DA4" w:rsidP="007D22B0">
      <w:pPr>
        <w:numPr>
          <w:ilvl w:val="0"/>
          <w:numId w:val="3"/>
        </w:numPr>
        <w:autoSpaceDN/>
        <w:spacing w:before="120" w:line="360" w:lineRule="auto"/>
        <w:jc w:val="both"/>
        <w:rPr>
          <w:sz w:val="24"/>
        </w:rPr>
      </w:pPr>
      <w:r w:rsidRPr="00F14F91">
        <w:rPr>
          <w:sz w:val="24"/>
        </w:rPr>
        <w:t>una costante politica di formazione ed aggiornamento professionale;</w:t>
      </w:r>
      <w:r w:rsidRPr="00F14F91">
        <w:t xml:space="preserve"> </w:t>
      </w:r>
    </w:p>
    <w:p w:rsidR="00AC0DA4" w:rsidRPr="00F14F91" w:rsidRDefault="00AC0DA4" w:rsidP="007D22B0">
      <w:pPr>
        <w:numPr>
          <w:ilvl w:val="0"/>
          <w:numId w:val="3"/>
        </w:numPr>
        <w:autoSpaceDN/>
        <w:spacing w:before="120" w:line="360" w:lineRule="auto"/>
        <w:jc w:val="both"/>
        <w:rPr>
          <w:sz w:val="24"/>
        </w:rPr>
      </w:pPr>
      <w:r w:rsidRPr="00F14F91">
        <w:rPr>
          <w:sz w:val="24"/>
        </w:rPr>
        <w:t>la corretta, efficiente ed efficace gestione nonché lo sviluppo del Sistema Informativo della Fiscalità per l’area di competenza, nel rispetto della normativa e degli standard vigenti secondo gli indirizzi degli organi competenti, assicurando altresì l’unitarietà, l’interoperabilità e la sicurezza del Sistema Informativo della Fiscalità.</w:t>
      </w:r>
      <w:r w:rsidRPr="00F14F91">
        <w:t xml:space="preserve"> </w:t>
      </w:r>
    </w:p>
    <w:p w:rsidR="00AC0DA4" w:rsidRPr="00F14F91" w:rsidRDefault="00AC0DA4" w:rsidP="00C02D64">
      <w:pPr>
        <w:numPr>
          <w:ilvl w:val="0"/>
          <w:numId w:val="4"/>
        </w:numPr>
        <w:tabs>
          <w:tab w:val="clear" w:pos="720"/>
          <w:tab w:val="num" w:pos="426"/>
        </w:tabs>
        <w:spacing w:before="120" w:line="360" w:lineRule="auto"/>
        <w:ind w:left="426"/>
        <w:jc w:val="both"/>
        <w:rPr>
          <w:sz w:val="24"/>
        </w:rPr>
      </w:pPr>
      <w:r w:rsidRPr="00F14F91">
        <w:rPr>
          <w:sz w:val="24"/>
        </w:rPr>
        <w:lastRenderedPageBreak/>
        <w:t>L’Agenzia si impegna, per quanto di competenza, ad attuare tutti gli interventi, sia organizzativi sia economico finanziari, atti a conseguire il contenimento della spesa previsto dalla normativa vigente.</w:t>
      </w:r>
    </w:p>
    <w:p w:rsidR="00AC0DA4" w:rsidRPr="00F14F91" w:rsidRDefault="00AC0DA4" w:rsidP="00C02D64">
      <w:pPr>
        <w:numPr>
          <w:ilvl w:val="0"/>
          <w:numId w:val="4"/>
        </w:numPr>
        <w:tabs>
          <w:tab w:val="clear" w:pos="720"/>
          <w:tab w:val="num" w:pos="426"/>
        </w:tabs>
        <w:spacing w:before="120" w:line="360" w:lineRule="auto"/>
        <w:ind w:left="426"/>
        <w:jc w:val="both"/>
        <w:rPr>
          <w:sz w:val="24"/>
        </w:rPr>
      </w:pPr>
      <w:r w:rsidRPr="00F14F91">
        <w:rPr>
          <w:sz w:val="24"/>
        </w:rPr>
        <w:t>L’Agenzia</w:t>
      </w:r>
      <w:r w:rsidR="004963D0">
        <w:rPr>
          <w:sz w:val="24"/>
        </w:rPr>
        <w:t xml:space="preserve"> </w:t>
      </w:r>
      <w:r w:rsidRPr="00F14F91">
        <w:rPr>
          <w:sz w:val="24"/>
        </w:rPr>
        <w:t>destina alla contrattazione integrativa le risorse definite dalla normativa vigente.</w:t>
      </w:r>
    </w:p>
    <w:p w:rsidR="00AC0DA4" w:rsidRPr="00F14F91" w:rsidRDefault="00AC0DA4" w:rsidP="00C02D64">
      <w:pPr>
        <w:numPr>
          <w:ilvl w:val="0"/>
          <w:numId w:val="4"/>
        </w:numPr>
        <w:tabs>
          <w:tab w:val="clear" w:pos="720"/>
          <w:tab w:val="num" w:pos="426"/>
        </w:tabs>
        <w:spacing w:before="120" w:line="360" w:lineRule="auto"/>
        <w:ind w:left="426"/>
        <w:jc w:val="both"/>
        <w:rPr>
          <w:sz w:val="24"/>
        </w:rPr>
      </w:pPr>
      <w:r w:rsidRPr="00F14F91">
        <w:rPr>
          <w:sz w:val="24"/>
        </w:rPr>
        <w:t>L’Agenzia</w:t>
      </w:r>
      <w:r w:rsidR="004A01FE">
        <w:rPr>
          <w:sz w:val="24"/>
        </w:rPr>
        <w:t>,</w:t>
      </w:r>
      <w:r w:rsidRPr="00F14F91">
        <w:rPr>
          <w:sz w:val="24"/>
        </w:rPr>
        <w:t xml:space="preserve"> in coerenza con le funzioni istituzionali ad essa assegnate, gli obiettivi strategici indicati nell’Atto di </w:t>
      </w:r>
      <w:r w:rsidR="00CD7FAD">
        <w:rPr>
          <w:sz w:val="24"/>
        </w:rPr>
        <w:t>i</w:t>
      </w:r>
      <w:r w:rsidRPr="00F14F91">
        <w:rPr>
          <w:sz w:val="24"/>
        </w:rPr>
        <w:t>ndirizzo e lo sviluppo del Sist</w:t>
      </w:r>
      <w:r>
        <w:rPr>
          <w:sz w:val="24"/>
        </w:rPr>
        <w:t>ema Informativo della Fiscalità</w:t>
      </w:r>
      <w:r w:rsidR="004A01FE">
        <w:rPr>
          <w:sz w:val="24"/>
        </w:rPr>
        <w:t>,</w:t>
      </w:r>
      <w:r w:rsidRPr="00F14F91">
        <w:rPr>
          <w:sz w:val="24"/>
        </w:rPr>
        <w:t xml:space="preserve"> predispone l’aggiornamento del piano pluriennale degli investimenti, per la copertura del quale l’Agenzia ricorrerà alle fonti previste dall’art. 70, comma 6</w:t>
      </w:r>
      <w:r w:rsidR="004A01FE">
        <w:rPr>
          <w:sz w:val="24"/>
        </w:rPr>
        <w:t>,</w:t>
      </w:r>
      <w:r w:rsidRPr="00F14F91">
        <w:rPr>
          <w:sz w:val="24"/>
        </w:rPr>
        <w:t xml:space="preserve"> del </w:t>
      </w:r>
      <w:proofErr w:type="spellStart"/>
      <w:r w:rsidRPr="00F14F91">
        <w:rPr>
          <w:sz w:val="24"/>
        </w:rPr>
        <w:t>D.Lgs.</w:t>
      </w:r>
      <w:proofErr w:type="spellEnd"/>
      <w:r w:rsidRPr="00F14F91">
        <w:rPr>
          <w:sz w:val="24"/>
        </w:rPr>
        <w:t xml:space="preserve"> 300/99.</w:t>
      </w:r>
    </w:p>
    <w:p w:rsidR="00AC0DA4" w:rsidRPr="00F14F91" w:rsidRDefault="00AC0DA4" w:rsidP="00C02D64">
      <w:pPr>
        <w:numPr>
          <w:ilvl w:val="0"/>
          <w:numId w:val="4"/>
        </w:numPr>
        <w:tabs>
          <w:tab w:val="clear" w:pos="720"/>
          <w:tab w:val="num" w:pos="426"/>
        </w:tabs>
        <w:spacing w:before="120" w:line="360" w:lineRule="auto"/>
        <w:ind w:left="426"/>
        <w:jc w:val="both"/>
        <w:rPr>
          <w:sz w:val="24"/>
        </w:rPr>
      </w:pPr>
      <w:r w:rsidRPr="00F14F91">
        <w:rPr>
          <w:sz w:val="24"/>
        </w:rPr>
        <w:t>L’Agenzia si impegna, altresì, a predisporre un piano di interventi per l’utilizzo delle risorse accantonate nel “Fondo oneri potenziamento Agenzia”.</w:t>
      </w:r>
    </w:p>
    <w:p w:rsidR="00AC0DA4" w:rsidRPr="00F14F91" w:rsidRDefault="00AC0DA4" w:rsidP="00C02D64">
      <w:pPr>
        <w:numPr>
          <w:ilvl w:val="0"/>
          <w:numId w:val="4"/>
        </w:numPr>
        <w:tabs>
          <w:tab w:val="clear" w:pos="720"/>
          <w:tab w:val="num" w:pos="426"/>
        </w:tabs>
        <w:spacing w:before="120" w:line="360" w:lineRule="auto"/>
        <w:ind w:left="426"/>
        <w:jc w:val="both"/>
        <w:rPr>
          <w:sz w:val="24"/>
        </w:rPr>
      </w:pPr>
      <w:r w:rsidRPr="00F14F91">
        <w:rPr>
          <w:sz w:val="24"/>
        </w:rPr>
        <w:t>L’Agenzia si impegna a realizzare un piano di formazione del personale coerente con gli obiettivi istituzionali e con le priorità strategiche indicate nell’Atto di indirizzo.</w:t>
      </w:r>
    </w:p>
    <w:p w:rsidR="00AC0DA4" w:rsidRPr="00F14F91" w:rsidRDefault="00AC0DA4" w:rsidP="00C02D64">
      <w:pPr>
        <w:numPr>
          <w:ilvl w:val="0"/>
          <w:numId w:val="4"/>
        </w:numPr>
        <w:tabs>
          <w:tab w:val="clear" w:pos="720"/>
          <w:tab w:val="num" w:pos="426"/>
        </w:tabs>
        <w:spacing w:before="120" w:line="360" w:lineRule="auto"/>
        <w:ind w:left="426"/>
        <w:jc w:val="both"/>
        <w:rPr>
          <w:sz w:val="24"/>
        </w:rPr>
      </w:pPr>
      <w:r w:rsidRPr="00F14F91">
        <w:rPr>
          <w:sz w:val="24"/>
        </w:rPr>
        <w:t>I contenuti dell’Allegato 2 “Piano dell’Agenzia” non limitano, in ogni caso, gli impegni istituzionali dell’Agenzia che è tenuta a svolgere le attività ad essa demandate assicurando il buon andamento delle funzioni amministrative.</w:t>
      </w:r>
    </w:p>
    <w:p w:rsidR="00AC0DA4" w:rsidRPr="00067BE4" w:rsidRDefault="00AC0DA4" w:rsidP="00C02D64">
      <w:pPr>
        <w:numPr>
          <w:ilvl w:val="0"/>
          <w:numId w:val="4"/>
        </w:numPr>
        <w:tabs>
          <w:tab w:val="clear" w:pos="720"/>
          <w:tab w:val="num" w:pos="426"/>
        </w:tabs>
        <w:spacing w:before="120" w:line="360" w:lineRule="auto"/>
        <w:ind w:left="426"/>
        <w:jc w:val="both"/>
        <w:rPr>
          <w:color w:val="0000FF"/>
          <w:sz w:val="24"/>
        </w:rPr>
      </w:pPr>
      <w:r w:rsidRPr="00F14F91">
        <w:rPr>
          <w:sz w:val="24"/>
        </w:rPr>
        <w:t xml:space="preserve">L’Agenzia, in attuazione delle previsioni di cui alla Legge </w:t>
      </w:r>
      <w:smartTag w:uri="urn:schemas-microsoft-com:office:smarttags" w:element="date">
        <w:smartTagPr>
          <w:attr w:name="Year" w:val="2000"/>
          <w:attr w:name="Day" w:val="27"/>
          <w:attr w:name="Month" w:val="7"/>
          <w:attr w:name="ls" w:val="trans"/>
        </w:smartTagPr>
        <w:r w:rsidRPr="00F14F91">
          <w:rPr>
            <w:sz w:val="24"/>
          </w:rPr>
          <w:t>27 luglio 2000</w:t>
        </w:r>
      </w:smartTag>
      <w:r w:rsidRPr="00F14F91">
        <w:rPr>
          <w:sz w:val="24"/>
        </w:rPr>
        <w:t xml:space="preserve">, n. 212, assicura al Garante del contribuente il supporto tecnico-logistico e le risorse umane necessarie per lo svolgimento delle sue funzioni. L’Agenzia si impegna a dare risposta alle segnalazioni del Garante entro trenta </w:t>
      </w:r>
      <w:r w:rsidRPr="00E43D0C">
        <w:rPr>
          <w:sz w:val="24"/>
        </w:rPr>
        <w:t xml:space="preserve">giorni, </w:t>
      </w:r>
      <w:r w:rsidRPr="00E942D8">
        <w:rPr>
          <w:sz w:val="24"/>
        </w:rPr>
        <w:t>inviando contestualmente copia della documentazione anche al Direttore Generale delle Finanze.</w:t>
      </w:r>
    </w:p>
    <w:p w:rsidR="00AC0DA4" w:rsidRDefault="00AC0DA4" w:rsidP="003A6175">
      <w:pPr>
        <w:spacing w:before="120" w:after="120"/>
        <w:jc w:val="center"/>
        <w:rPr>
          <w:sz w:val="24"/>
        </w:rPr>
      </w:pPr>
    </w:p>
    <w:p w:rsidR="00AC0DA4" w:rsidRPr="00F14F91" w:rsidRDefault="00AC0DA4" w:rsidP="003A6175">
      <w:pPr>
        <w:spacing w:before="120" w:after="120"/>
        <w:jc w:val="center"/>
        <w:rPr>
          <w:sz w:val="24"/>
        </w:rPr>
      </w:pPr>
    </w:p>
    <w:p w:rsidR="00AC0DA4" w:rsidRPr="00F14F91" w:rsidRDefault="00AC0DA4" w:rsidP="000A30C9">
      <w:pPr>
        <w:pStyle w:val="Titolo1"/>
        <w:spacing w:before="120" w:after="120"/>
        <w:ind w:hanging="11"/>
        <w:jc w:val="center"/>
        <w:rPr>
          <w:rFonts w:ascii="Times New Roman" w:hAnsi="Times New Roman" w:cs="Times New Roman"/>
          <w:sz w:val="24"/>
        </w:rPr>
      </w:pPr>
      <w:r w:rsidRPr="00F14F91">
        <w:rPr>
          <w:smallCaps/>
          <w:kern w:val="0"/>
          <w:sz w:val="24"/>
          <w:szCs w:val="24"/>
        </w:rPr>
        <w:t>Articolo 4</w:t>
      </w:r>
      <w:r w:rsidRPr="00F14F91">
        <w:br/>
      </w:r>
      <w:r w:rsidRPr="00F14F91">
        <w:rPr>
          <w:i/>
          <w:iCs/>
          <w:smallCaps/>
          <w:kern w:val="0"/>
          <w:sz w:val="24"/>
          <w:szCs w:val="24"/>
        </w:rPr>
        <w:t>Impegni istituzionali del Ministero</w:t>
      </w:r>
    </w:p>
    <w:p w:rsidR="00AC0DA4" w:rsidRPr="00F14F91" w:rsidRDefault="00AC0DA4" w:rsidP="00C02D64">
      <w:pPr>
        <w:numPr>
          <w:ilvl w:val="0"/>
          <w:numId w:val="5"/>
        </w:numPr>
        <w:tabs>
          <w:tab w:val="clear" w:pos="720"/>
          <w:tab w:val="num" w:pos="426"/>
        </w:tabs>
        <w:autoSpaceDN/>
        <w:spacing w:before="240" w:line="360" w:lineRule="auto"/>
        <w:ind w:left="426" w:hanging="357"/>
        <w:jc w:val="both"/>
        <w:rPr>
          <w:sz w:val="24"/>
        </w:rPr>
      </w:pPr>
      <w:r w:rsidRPr="00F14F91">
        <w:rPr>
          <w:sz w:val="24"/>
        </w:rPr>
        <w:t>Il Dipartimento assicura l’indirizzo, il coordinamento e l’integrazione dei rapporti con le Agenzie Fiscali e con gli altri Enti che esercitano funzioni nei settori della fiscalità statale, nel rispetto dell’autonomia gestionale, al fine di assicurare l’efficace conseguimento degli obiettivi di politica fiscale ed il contenimento dei costi amministrativi.</w:t>
      </w:r>
    </w:p>
    <w:p w:rsidR="00AC0DA4" w:rsidRPr="00F14F91" w:rsidRDefault="00AC0DA4" w:rsidP="00C02D64">
      <w:pPr>
        <w:numPr>
          <w:ilvl w:val="0"/>
          <w:numId w:val="5"/>
        </w:numPr>
        <w:tabs>
          <w:tab w:val="clear" w:pos="720"/>
          <w:tab w:val="num" w:pos="426"/>
        </w:tabs>
        <w:autoSpaceDN/>
        <w:spacing w:before="120" w:line="360" w:lineRule="auto"/>
        <w:ind w:left="426"/>
        <w:jc w:val="both"/>
        <w:rPr>
          <w:sz w:val="24"/>
        </w:rPr>
      </w:pPr>
      <w:r w:rsidRPr="00F14F91">
        <w:rPr>
          <w:sz w:val="24"/>
        </w:rPr>
        <w:lastRenderedPageBreak/>
        <w:t>Il coordinamento, il monitoraggio, il controllo e la vigilanza nei confronti dell’Agenzia sono esercitati secondo le modalità descritte nell’Allegato 1 “Sistema di relazioni tra Ministero ed Agenzia” e nell’Allegato 4 “Monitoraggio della gestione e verifica dei risultati” allegati alla presente Convenzione.</w:t>
      </w:r>
    </w:p>
    <w:p w:rsidR="00AC0DA4" w:rsidRPr="00F14F91" w:rsidRDefault="00AC0DA4" w:rsidP="00C02D64">
      <w:pPr>
        <w:numPr>
          <w:ilvl w:val="0"/>
          <w:numId w:val="5"/>
        </w:numPr>
        <w:tabs>
          <w:tab w:val="clear" w:pos="720"/>
          <w:tab w:val="num" w:pos="426"/>
        </w:tabs>
        <w:autoSpaceDN/>
        <w:spacing w:before="120" w:line="360" w:lineRule="auto"/>
        <w:ind w:left="426"/>
        <w:jc w:val="both"/>
        <w:rPr>
          <w:sz w:val="24"/>
        </w:rPr>
      </w:pPr>
      <w:r w:rsidRPr="00F14F91">
        <w:rPr>
          <w:sz w:val="24"/>
        </w:rPr>
        <w:t>Per il conseguimento degli obiettivi di cui all’art. 3 della presente Convenzione, il Dipartimento trasferisce le risorse disponibili sul capitolo 3890 stanzi</w:t>
      </w:r>
      <w:r>
        <w:rPr>
          <w:sz w:val="24"/>
        </w:rPr>
        <w:t xml:space="preserve">ate dalla Legge di </w:t>
      </w:r>
      <w:r w:rsidRPr="009651E0">
        <w:rPr>
          <w:sz w:val="24"/>
        </w:rPr>
        <w:t>bilancio 2011, tenendo</w:t>
      </w:r>
      <w:r w:rsidRPr="00F14F91">
        <w:rPr>
          <w:sz w:val="24"/>
        </w:rPr>
        <w:t xml:space="preserve"> conto delle eventuali variazioni intervenute in corso d’anno. Sulla base di documentate motivazioni, fermi restando i vincoli di finanza pubblica, saranno, inoltre, valutate ulteriori esigenze di risorse finanziarie, ai fini del mantenimento delle condizioni di equilibrio economico-finanziario dell’Agenzia.</w:t>
      </w:r>
    </w:p>
    <w:p w:rsidR="00AC0DA4" w:rsidRPr="00F14F91" w:rsidRDefault="00AC0DA4" w:rsidP="00C02D64">
      <w:pPr>
        <w:numPr>
          <w:ilvl w:val="0"/>
          <w:numId w:val="5"/>
        </w:numPr>
        <w:tabs>
          <w:tab w:val="clear" w:pos="720"/>
          <w:tab w:val="num" w:pos="426"/>
        </w:tabs>
        <w:autoSpaceDN/>
        <w:spacing w:before="120" w:line="360" w:lineRule="auto"/>
        <w:ind w:left="426"/>
        <w:jc w:val="both"/>
        <w:rPr>
          <w:sz w:val="24"/>
        </w:rPr>
      </w:pPr>
      <w:r w:rsidRPr="00F14F91">
        <w:rPr>
          <w:sz w:val="24"/>
        </w:rPr>
        <w:t xml:space="preserve">Per quanto concerne le risorse di cui al capitolo </w:t>
      </w:r>
      <w:smartTag w:uri="urn:schemas-microsoft-com:office:smarttags" w:element="metricconverter">
        <w:smartTagPr>
          <w:attr w:name="ProductID" w:val="3890, a"/>
        </w:smartTagPr>
        <w:r w:rsidRPr="00F14F91">
          <w:rPr>
            <w:sz w:val="24"/>
          </w:rPr>
          <w:t>3890,</w:t>
        </w:r>
        <w:r>
          <w:rPr>
            <w:sz w:val="24"/>
          </w:rPr>
          <w:t xml:space="preserve"> </w:t>
        </w:r>
        <w:r w:rsidRPr="00F14F91">
          <w:rPr>
            <w:sz w:val="24"/>
          </w:rPr>
          <w:t>a</w:t>
        </w:r>
      </w:smartTag>
      <w:r w:rsidRPr="00F14F91">
        <w:rPr>
          <w:sz w:val="24"/>
        </w:rPr>
        <w:t xml:space="preserve"> seguito di specifica comunicazione da parte dell’Agenzia sulla ripartizione effettuata ai sensi dell’art. 60 del D.L. 112/2008, il Dipartimento trasferisce:</w:t>
      </w:r>
    </w:p>
    <w:p w:rsidR="00AC0DA4" w:rsidRPr="00F14F91" w:rsidRDefault="00AC0DA4" w:rsidP="007D22B0">
      <w:pPr>
        <w:keepLines/>
        <w:numPr>
          <w:ilvl w:val="0"/>
          <w:numId w:val="16"/>
        </w:numPr>
        <w:tabs>
          <w:tab w:val="left" w:pos="1418"/>
        </w:tabs>
        <w:autoSpaceDE/>
        <w:autoSpaceDN/>
        <w:spacing w:before="120" w:line="360" w:lineRule="auto"/>
        <w:ind w:left="1418" w:hanging="284"/>
        <w:jc w:val="both"/>
        <w:rPr>
          <w:rFonts w:cs="Arial"/>
          <w:bCs/>
          <w:sz w:val="24"/>
        </w:rPr>
      </w:pPr>
      <w:r w:rsidRPr="00F14F91">
        <w:rPr>
          <w:rFonts w:cs="Arial"/>
          <w:bCs/>
          <w:sz w:val="24"/>
        </w:rPr>
        <w:t xml:space="preserve">in due rate di uguale importo le risorse per le spese per stipendi, retribuzioni e altre spese fisse o aventi natura obbligatoria ovvero </w:t>
      </w:r>
      <w:r w:rsidRPr="009651E0">
        <w:rPr>
          <w:rFonts w:cs="Arial"/>
          <w:bCs/>
          <w:sz w:val="24"/>
        </w:rPr>
        <w:t>non frazionabili in dodicesimi</w:t>
      </w:r>
      <w:r w:rsidR="004A01FE">
        <w:rPr>
          <w:rFonts w:cs="Arial"/>
          <w:bCs/>
          <w:sz w:val="24"/>
        </w:rPr>
        <w:t>,</w:t>
      </w:r>
      <w:r w:rsidRPr="009651E0">
        <w:rPr>
          <w:rFonts w:cs="Arial"/>
          <w:bCs/>
          <w:sz w:val="24"/>
        </w:rPr>
        <w:t xml:space="preserve"> da erogarsi la prima entro 10 giorni dalla ricezione del provvedimento di assegnazione delle risorse da legge di bilancio emanato</w:t>
      </w:r>
      <w:r>
        <w:rPr>
          <w:rFonts w:cs="Arial"/>
          <w:bCs/>
          <w:sz w:val="24"/>
        </w:rPr>
        <w:t xml:space="preserve"> dal</w:t>
      </w:r>
      <w:r w:rsidRPr="00F14F91">
        <w:rPr>
          <w:rFonts w:cs="Arial"/>
          <w:bCs/>
          <w:sz w:val="24"/>
        </w:rPr>
        <w:t xml:space="preserve"> Sig. Ministro e la seconda il 1° luglio. In caso di ricorso all’esercizio provvisorio da parte dell’Agenzia, limitatamente alla durata dello stesso, il Dipartimento erogherà le somme in dodicesimi;</w:t>
      </w:r>
    </w:p>
    <w:p w:rsidR="00AC0DA4" w:rsidRPr="00F14F91" w:rsidRDefault="00AC0DA4" w:rsidP="008A2F27">
      <w:pPr>
        <w:keepLines/>
        <w:numPr>
          <w:ilvl w:val="0"/>
          <w:numId w:val="16"/>
        </w:numPr>
        <w:tabs>
          <w:tab w:val="left" w:pos="1418"/>
        </w:tabs>
        <w:autoSpaceDE/>
        <w:autoSpaceDN/>
        <w:spacing w:before="120" w:line="360" w:lineRule="auto"/>
        <w:ind w:left="1418" w:hanging="284"/>
        <w:jc w:val="both"/>
        <w:rPr>
          <w:sz w:val="24"/>
        </w:rPr>
      </w:pPr>
      <w:r w:rsidRPr="00F14F91">
        <w:rPr>
          <w:sz w:val="24"/>
        </w:rPr>
        <w:t xml:space="preserve">in dodicesimi, ex art. 60 del D.L. 112/2008, le risorse per le spese di funzionamento frazionabili, diverse da quelle riportate nel punto precedente. Il primo dodicesimo sarà erogato entro </w:t>
      </w:r>
      <w:r w:rsidRPr="00F14F91">
        <w:rPr>
          <w:rFonts w:cs="Arial"/>
          <w:bCs/>
          <w:sz w:val="24"/>
        </w:rPr>
        <w:t xml:space="preserve">10 giorni </w:t>
      </w:r>
      <w:r w:rsidRPr="009651E0">
        <w:rPr>
          <w:rFonts w:cs="Arial"/>
          <w:bCs/>
          <w:sz w:val="24"/>
        </w:rPr>
        <w:t>dalla ricezione</w:t>
      </w:r>
      <w:r w:rsidRPr="00F14F91">
        <w:rPr>
          <w:rFonts w:cs="Arial"/>
          <w:bCs/>
          <w:sz w:val="24"/>
        </w:rPr>
        <w:t xml:space="preserve"> del provvedimento di</w:t>
      </w:r>
      <w:r w:rsidR="00C02D64">
        <w:rPr>
          <w:rFonts w:cs="Arial"/>
          <w:bCs/>
          <w:sz w:val="24"/>
        </w:rPr>
        <w:t xml:space="preserve"> assegnazione delle risorse da L</w:t>
      </w:r>
      <w:r w:rsidRPr="00F14F91">
        <w:rPr>
          <w:rFonts w:cs="Arial"/>
          <w:bCs/>
          <w:sz w:val="24"/>
        </w:rPr>
        <w:t xml:space="preserve">egge di bilancio </w:t>
      </w:r>
      <w:r>
        <w:rPr>
          <w:rFonts w:cs="Arial"/>
          <w:bCs/>
          <w:sz w:val="24"/>
        </w:rPr>
        <w:t>emanato dal</w:t>
      </w:r>
      <w:r w:rsidRPr="00F14F91">
        <w:rPr>
          <w:rFonts w:cs="Arial"/>
          <w:bCs/>
          <w:sz w:val="24"/>
        </w:rPr>
        <w:t xml:space="preserve"> Sig. Ministro</w:t>
      </w:r>
      <w:r w:rsidRPr="00F14F91">
        <w:rPr>
          <w:sz w:val="24"/>
        </w:rPr>
        <w:t>.</w:t>
      </w:r>
    </w:p>
    <w:p w:rsidR="00AC0DA4" w:rsidRPr="00F14F91" w:rsidRDefault="00AC0DA4" w:rsidP="00C02D64">
      <w:pPr>
        <w:numPr>
          <w:ilvl w:val="0"/>
          <w:numId w:val="5"/>
        </w:numPr>
        <w:tabs>
          <w:tab w:val="clear" w:pos="720"/>
          <w:tab w:val="num" w:pos="426"/>
        </w:tabs>
        <w:autoSpaceDN/>
        <w:spacing w:before="120" w:line="360" w:lineRule="auto"/>
        <w:ind w:left="426"/>
        <w:jc w:val="both"/>
        <w:rPr>
          <w:sz w:val="24"/>
        </w:rPr>
      </w:pPr>
      <w:r w:rsidRPr="00842958">
        <w:rPr>
          <w:sz w:val="24"/>
        </w:rPr>
        <w:t>Per la quota incentivante correlata alla verif</w:t>
      </w:r>
      <w:r>
        <w:rPr>
          <w:sz w:val="24"/>
        </w:rPr>
        <w:t xml:space="preserve">ica dei </w:t>
      </w:r>
      <w:r w:rsidRPr="009651E0">
        <w:rPr>
          <w:sz w:val="24"/>
        </w:rPr>
        <w:t xml:space="preserve">risultati </w:t>
      </w:r>
      <w:r w:rsidRPr="009651E0">
        <w:rPr>
          <w:rFonts w:cs="Arial"/>
          <w:sz w:val="24"/>
        </w:rPr>
        <w:t>dell’anno 2010</w:t>
      </w:r>
      <w:r w:rsidRPr="00842958">
        <w:rPr>
          <w:sz w:val="24"/>
        </w:rPr>
        <w:t xml:space="preserve"> ex art. 59 del </w:t>
      </w:r>
      <w:proofErr w:type="spellStart"/>
      <w:r w:rsidRPr="00842958">
        <w:rPr>
          <w:sz w:val="24"/>
        </w:rPr>
        <w:t>D.Lgs.</w:t>
      </w:r>
      <w:proofErr w:type="spellEnd"/>
      <w:r w:rsidRPr="00842958">
        <w:rPr>
          <w:sz w:val="24"/>
        </w:rPr>
        <w:t xml:space="preserve"> 300/</w:t>
      </w:r>
      <w:r w:rsidRPr="00B445F5">
        <w:rPr>
          <w:sz w:val="24"/>
        </w:rPr>
        <w:t xml:space="preserve">99, determinata nella misura prevista nell’esercizio precedente, </w:t>
      </w:r>
      <w:r w:rsidR="005B6C57" w:rsidRPr="00B445F5">
        <w:rPr>
          <w:sz w:val="24"/>
        </w:rPr>
        <w:t xml:space="preserve">ferma restando la normativa vigente in materia di contrattazione integrativa e di costituzione di fondi, </w:t>
      </w:r>
      <w:r w:rsidRPr="00B445F5">
        <w:rPr>
          <w:sz w:val="24"/>
        </w:rPr>
        <w:t>il</w:t>
      </w:r>
      <w:r w:rsidRPr="00842958">
        <w:rPr>
          <w:sz w:val="24"/>
        </w:rPr>
        <w:t xml:space="preserve"> Dipartimento trasferisce secondo le seguenti modalità</w:t>
      </w:r>
      <w:r w:rsidRPr="00F14F91">
        <w:rPr>
          <w:sz w:val="24"/>
        </w:rPr>
        <w:t>:</w:t>
      </w:r>
    </w:p>
    <w:p w:rsidR="00AC0DA4" w:rsidRPr="00F14F91" w:rsidRDefault="00AC0DA4" w:rsidP="00E942D8">
      <w:pPr>
        <w:numPr>
          <w:ilvl w:val="0"/>
          <w:numId w:val="6"/>
        </w:numPr>
        <w:autoSpaceDN/>
        <w:spacing w:before="120" w:line="360" w:lineRule="auto"/>
        <w:ind w:left="1418" w:hanging="284"/>
        <w:jc w:val="both"/>
        <w:rPr>
          <w:sz w:val="24"/>
        </w:rPr>
      </w:pPr>
      <w:r w:rsidRPr="00F14F91">
        <w:rPr>
          <w:sz w:val="24"/>
        </w:rPr>
        <w:t>un acconto pari al 70% della quota incentivante prevista, entro il 28 febbraio</w:t>
      </w:r>
      <w:r>
        <w:rPr>
          <w:sz w:val="24"/>
        </w:rPr>
        <w:t xml:space="preserve"> </w:t>
      </w:r>
      <w:r w:rsidR="00E942D8" w:rsidRPr="00A85FC0">
        <w:rPr>
          <w:sz w:val="24"/>
        </w:rPr>
        <w:t>dell’anno</w:t>
      </w:r>
      <w:r w:rsidRPr="00A85FC0">
        <w:rPr>
          <w:sz w:val="24"/>
        </w:rPr>
        <w:t xml:space="preserve"> s</w:t>
      </w:r>
      <w:r w:rsidRPr="00F14F91">
        <w:rPr>
          <w:sz w:val="24"/>
        </w:rPr>
        <w:t>uccessivo a quello di competenza. A tal fine</w:t>
      </w:r>
      <w:r>
        <w:rPr>
          <w:sz w:val="24"/>
        </w:rPr>
        <w:t>,</w:t>
      </w:r>
      <w:r w:rsidRPr="00F14F91">
        <w:rPr>
          <w:sz w:val="24"/>
        </w:rPr>
        <w:t xml:space="preserve"> il Direttore dell’Agenzia trasmette al Dipartimento</w:t>
      </w:r>
      <w:r>
        <w:rPr>
          <w:sz w:val="24"/>
        </w:rPr>
        <w:t>,</w:t>
      </w:r>
      <w:r w:rsidRPr="00F14F91">
        <w:rPr>
          <w:sz w:val="24"/>
        </w:rPr>
        <w:t xml:space="preserve"> entro il 30 gennaio </w:t>
      </w:r>
      <w:r w:rsidR="00E942D8" w:rsidRPr="00A85FC0">
        <w:rPr>
          <w:sz w:val="24"/>
        </w:rPr>
        <w:t>dell’anno</w:t>
      </w:r>
      <w:r w:rsidRPr="00F14F91">
        <w:rPr>
          <w:sz w:val="24"/>
        </w:rPr>
        <w:t xml:space="preserve"> </w:t>
      </w:r>
      <w:r w:rsidRPr="00F14F91">
        <w:rPr>
          <w:sz w:val="24"/>
        </w:rPr>
        <w:lastRenderedPageBreak/>
        <w:t>successivo a quello di competenza</w:t>
      </w:r>
      <w:r>
        <w:rPr>
          <w:sz w:val="24"/>
        </w:rPr>
        <w:t>,</w:t>
      </w:r>
      <w:r w:rsidRPr="00F14F91">
        <w:rPr>
          <w:sz w:val="24"/>
        </w:rPr>
        <w:t xml:space="preserve"> una comunicazione secondo le modalità previste nell’Allegato 3 “Sistema incentivante” e nell’Allegato 4 “Monitoraggio della gestione e verifica dei risultati”;</w:t>
      </w:r>
    </w:p>
    <w:p w:rsidR="00AC0DA4" w:rsidRPr="00F14F91" w:rsidRDefault="00AC0DA4" w:rsidP="00E11196">
      <w:pPr>
        <w:numPr>
          <w:ilvl w:val="0"/>
          <w:numId w:val="6"/>
        </w:numPr>
        <w:tabs>
          <w:tab w:val="clear" w:pos="720"/>
        </w:tabs>
        <w:autoSpaceDN/>
        <w:spacing w:before="120" w:line="360" w:lineRule="auto"/>
        <w:ind w:left="1418" w:hanging="284"/>
        <w:jc w:val="both"/>
        <w:rPr>
          <w:sz w:val="24"/>
        </w:rPr>
      </w:pPr>
      <w:r w:rsidRPr="00F14F91">
        <w:rPr>
          <w:sz w:val="24"/>
        </w:rPr>
        <w:t>il saldo spettante</w:t>
      </w:r>
      <w:r w:rsidR="004A01FE">
        <w:rPr>
          <w:sz w:val="24"/>
        </w:rPr>
        <w:t>,</w:t>
      </w:r>
      <w:r w:rsidR="00E11196">
        <w:rPr>
          <w:sz w:val="24"/>
        </w:rPr>
        <w:t xml:space="preserve"> </w:t>
      </w:r>
      <w:r w:rsidR="00E11196" w:rsidRPr="00915566">
        <w:rPr>
          <w:sz w:val="24"/>
        </w:rPr>
        <w:t>entro il 30 luglio,</w:t>
      </w:r>
      <w:r w:rsidRPr="00F14F91">
        <w:rPr>
          <w:sz w:val="24"/>
        </w:rPr>
        <w:t xml:space="preserve"> previa informativa al Sig. Ministro </w:t>
      </w:r>
      <w:r>
        <w:rPr>
          <w:sz w:val="24"/>
        </w:rPr>
        <w:t xml:space="preserve">della verifica </w:t>
      </w:r>
      <w:r w:rsidRPr="00F14F91">
        <w:rPr>
          <w:sz w:val="24"/>
        </w:rPr>
        <w:t>dei risultati della gestione conseguiti nell’anno precedente, in coerenza con il rispetto dei tempi previsti nell’Allegato 4 “Monitoraggio della gestione e verifica dei risultati</w:t>
      </w:r>
      <w:r>
        <w:rPr>
          <w:sz w:val="24"/>
        </w:rPr>
        <w:t>”</w:t>
      </w:r>
      <w:r w:rsidRPr="00F14F91">
        <w:rPr>
          <w:sz w:val="24"/>
        </w:rPr>
        <w:t xml:space="preserve">. </w:t>
      </w:r>
    </w:p>
    <w:p w:rsidR="00AC0DA4" w:rsidRPr="00E60026" w:rsidRDefault="00AC0DA4" w:rsidP="007D22B0">
      <w:pPr>
        <w:spacing w:before="120" w:line="360" w:lineRule="auto"/>
        <w:ind w:left="540"/>
        <w:jc w:val="both"/>
        <w:rPr>
          <w:rFonts w:cs="Arial"/>
          <w:sz w:val="24"/>
        </w:rPr>
      </w:pPr>
      <w:r w:rsidRPr="00E60026">
        <w:rPr>
          <w:rFonts w:cs="Arial"/>
          <w:sz w:val="24"/>
        </w:rPr>
        <w:t>Il 70% dell’importo della quota incentivante relativo al</w:t>
      </w:r>
      <w:r w:rsidR="004963D0">
        <w:rPr>
          <w:rFonts w:cs="Arial"/>
          <w:sz w:val="24"/>
        </w:rPr>
        <w:t xml:space="preserve"> 2011 </w:t>
      </w:r>
      <w:r w:rsidRPr="00E60026">
        <w:rPr>
          <w:rFonts w:cs="Arial"/>
          <w:sz w:val="24"/>
        </w:rPr>
        <w:t>può essere anticipato dall’Agenzia sulla base dell’avanzamento dei risultati da conseguire nel medesimo anno in due rate, al 31 luglio ed al 30 novembre dell’esercizio di competenza.</w:t>
      </w:r>
    </w:p>
    <w:p w:rsidR="00AC0DA4" w:rsidRPr="00E43D0C" w:rsidRDefault="00AC0DA4" w:rsidP="007D22B0">
      <w:pPr>
        <w:spacing w:before="120" w:line="360" w:lineRule="auto"/>
        <w:ind w:left="540"/>
        <w:jc w:val="both"/>
        <w:rPr>
          <w:sz w:val="24"/>
        </w:rPr>
      </w:pPr>
      <w:r w:rsidRPr="00E43D0C">
        <w:rPr>
          <w:sz w:val="24"/>
        </w:rPr>
        <w:t>L’Agenzia si impegna a destinare gli importi di cui al presente punto 5 al miglioramento delle condizioni di funzionamento ed al potenziamento della struttura, nonché alla corresponsione di compensi incen</w:t>
      </w:r>
      <w:r w:rsidRPr="001D0D30">
        <w:rPr>
          <w:sz w:val="24"/>
        </w:rPr>
        <w:t>tivanti al personale dipendente</w:t>
      </w:r>
      <w:r w:rsidR="00A85FC0" w:rsidRPr="001D0D30">
        <w:rPr>
          <w:rFonts w:ascii="Helvetica" w:hAnsi="Helvetica"/>
          <w:sz w:val="24"/>
        </w:rPr>
        <w:t>, sulla base di parametri attinenti all’incremento della qualità e della produttività dell’azione amministrativa</w:t>
      </w:r>
      <w:r w:rsidRPr="001D0D30">
        <w:rPr>
          <w:sz w:val="24"/>
        </w:rPr>
        <w:t>.</w:t>
      </w:r>
      <w:r w:rsidRPr="00C34616">
        <w:rPr>
          <w:rFonts w:ascii="Helvetica" w:hAnsi="Helvetica"/>
          <w:sz w:val="24"/>
        </w:rPr>
        <w:t xml:space="preserve"> </w:t>
      </w:r>
      <w:r w:rsidRPr="00C34616">
        <w:rPr>
          <w:sz w:val="24"/>
        </w:rPr>
        <w:t xml:space="preserve">Le modalità </w:t>
      </w:r>
      <w:r w:rsidR="004A01FE">
        <w:rPr>
          <w:sz w:val="24"/>
        </w:rPr>
        <w:t>per</w:t>
      </w:r>
      <w:r w:rsidRPr="00C34616">
        <w:rPr>
          <w:sz w:val="24"/>
        </w:rPr>
        <w:t xml:space="preserve"> la ripartizione e la distribuzione al personale dipendente dei com</w:t>
      </w:r>
      <w:r w:rsidR="009C5A9B">
        <w:rPr>
          <w:sz w:val="24"/>
        </w:rPr>
        <w:t>pensi incentivanti sono definite</w:t>
      </w:r>
      <w:r w:rsidRPr="00C34616">
        <w:rPr>
          <w:sz w:val="24"/>
        </w:rPr>
        <w:t xml:space="preserve"> d’intesa con le </w:t>
      </w:r>
      <w:r w:rsidR="004A01FE">
        <w:rPr>
          <w:sz w:val="24"/>
        </w:rPr>
        <w:t>O</w:t>
      </w:r>
      <w:r w:rsidRPr="00C34616">
        <w:rPr>
          <w:sz w:val="24"/>
        </w:rPr>
        <w:t>rganizzazioni sindacali.</w:t>
      </w:r>
    </w:p>
    <w:p w:rsidR="00AC0DA4" w:rsidRPr="00F14F91" w:rsidRDefault="00AC0DA4" w:rsidP="00C02D64">
      <w:pPr>
        <w:numPr>
          <w:ilvl w:val="0"/>
          <w:numId w:val="5"/>
        </w:numPr>
        <w:tabs>
          <w:tab w:val="clear" w:pos="720"/>
          <w:tab w:val="num" w:pos="426"/>
        </w:tabs>
        <w:autoSpaceDN/>
        <w:spacing w:before="120" w:line="360" w:lineRule="auto"/>
        <w:ind w:left="426"/>
        <w:jc w:val="both"/>
        <w:rPr>
          <w:sz w:val="24"/>
        </w:rPr>
      </w:pPr>
      <w:r w:rsidRPr="00F14F91">
        <w:rPr>
          <w:sz w:val="24"/>
        </w:rPr>
        <w:t>Il Dipartimento trasferisce</w:t>
      </w:r>
      <w:r>
        <w:rPr>
          <w:sz w:val="24"/>
        </w:rPr>
        <w:t>,</w:t>
      </w:r>
      <w:r w:rsidRPr="00F14F91">
        <w:rPr>
          <w:sz w:val="24"/>
        </w:rPr>
        <w:t xml:space="preserve"> altresì</w:t>
      </w:r>
      <w:r>
        <w:rPr>
          <w:sz w:val="24"/>
        </w:rPr>
        <w:t>, all’Agenzia</w:t>
      </w:r>
      <w:r w:rsidRPr="00F14F91">
        <w:rPr>
          <w:sz w:val="24"/>
        </w:rPr>
        <w:t xml:space="preserve"> per la competenza dell’esercizio </w:t>
      </w:r>
      <w:r>
        <w:rPr>
          <w:sz w:val="24"/>
        </w:rPr>
        <w:t xml:space="preserve">2011 </w:t>
      </w:r>
      <w:r w:rsidRPr="00F14F91">
        <w:rPr>
          <w:sz w:val="24"/>
        </w:rPr>
        <w:t>ed in un'unica soluzione:</w:t>
      </w:r>
    </w:p>
    <w:p w:rsidR="00AC0DA4" w:rsidRPr="00F14F91" w:rsidRDefault="00AC0DA4" w:rsidP="007D22B0">
      <w:pPr>
        <w:numPr>
          <w:ilvl w:val="0"/>
          <w:numId w:val="6"/>
        </w:numPr>
        <w:autoSpaceDN/>
        <w:spacing w:before="120" w:line="360" w:lineRule="auto"/>
        <w:ind w:left="1418" w:hanging="284"/>
        <w:jc w:val="both"/>
        <w:rPr>
          <w:sz w:val="24"/>
        </w:rPr>
      </w:pPr>
      <w:r w:rsidRPr="00F14F91">
        <w:rPr>
          <w:sz w:val="24"/>
        </w:rPr>
        <w:t>le eventuali integrazioni alle dotazioni di cui al punto 4 da determinarsi in applicazione dell’art. 1, comma 75, della Legge finanziaria 2006;</w:t>
      </w:r>
    </w:p>
    <w:p w:rsidR="00AC0DA4" w:rsidRPr="002C1FEE" w:rsidRDefault="00AC0DA4" w:rsidP="007D22B0">
      <w:pPr>
        <w:numPr>
          <w:ilvl w:val="0"/>
          <w:numId w:val="6"/>
        </w:numPr>
        <w:autoSpaceDN/>
        <w:spacing w:before="120" w:line="360" w:lineRule="auto"/>
        <w:ind w:left="1418" w:hanging="284"/>
        <w:jc w:val="both"/>
        <w:rPr>
          <w:sz w:val="24"/>
        </w:rPr>
      </w:pPr>
      <w:r w:rsidRPr="00DF6951">
        <w:rPr>
          <w:sz w:val="24"/>
        </w:rPr>
        <w:t>le risorse</w:t>
      </w:r>
      <w:r w:rsidRPr="00DF6951">
        <w:rPr>
          <w:color w:val="FF0000"/>
          <w:sz w:val="24"/>
        </w:rPr>
        <w:t xml:space="preserve"> </w:t>
      </w:r>
      <w:r w:rsidRPr="00DF6951">
        <w:rPr>
          <w:sz w:val="24"/>
        </w:rPr>
        <w:t xml:space="preserve">relative alla rivalutazione ISTAT dei canoni di locazione connessi all’utilizzo degli immobili conferiti nel Fondo Immobili Pubblici (FIP) e Patrimonio Uno, nonché le risorse atte a garantire gli interventi di manutenzione straordinaria degli immobili </w:t>
      </w:r>
      <w:r w:rsidR="00DF6951" w:rsidRPr="00DF6951">
        <w:rPr>
          <w:sz w:val="24"/>
        </w:rPr>
        <w:t>indicati</w:t>
      </w:r>
      <w:r w:rsidRPr="00DF6951">
        <w:rPr>
          <w:sz w:val="24"/>
        </w:rPr>
        <w:t>;</w:t>
      </w:r>
    </w:p>
    <w:p w:rsidR="00AC0DA4" w:rsidRDefault="00AC0DA4" w:rsidP="007D22B0">
      <w:pPr>
        <w:numPr>
          <w:ilvl w:val="0"/>
          <w:numId w:val="6"/>
        </w:numPr>
        <w:autoSpaceDN/>
        <w:spacing w:before="120" w:line="360" w:lineRule="auto"/>
        <w:ind w:left="1418" w:hanging="284"/>
        <w:jc w:val="both"/>
        <w:rPr>
          <w:sz w:val="24"/>
        </w:rPr>
      </w:pPr>
      <w:r w:rsidRPr="00F14F91">
        <w:rPr>
          <w:sz w:val="24"/>
        </w:rPr>
        <w:t>le risorse finanziarie in applicazione dell’art. 3, comma 165</w:t>
      </w:r>
      <w:r w:rsidR="001F3315">
        <w:rPr>
          <w:sz w:val="24"/>
        </w:rPr>
        <w:t>,</w:t>
      </w:r>
      <w:r w:rsidRPr="00F14F91">
        <w:rPr>
          <w:sz w:val="24"/>
        </w:rPr>
        <w:t xml:space="preserve"> della</w:t>
      </w:r>
      <w:r>
        <w:rPr>
          <w:sz w:val="24"/>
        </w:rPr>
        <w:t xml:space="preserve"> Legge </w:t>
      </w:r>
      <w:r w:rsidRPr="00F14F91">
        <w:rPr>
          <w:sz w:val="24"/>
        </w:rPr>
        <w:t xml:space="preserve">finanziaria </w:t>
      </w:r>
      <w:r w:rsidRPr="00A85FC0">
        <w:rPr>
          <w:sz w:val="24"/>
        </w:rPr>
        <w:t>2004, secondo le disposizioni dell’art. 67, comma 3, del D.L. 112/2008</w:t>
      </w:r>
      <w:r w:rsidR="001F3315" w:rsidRPr="00A85FC0">
        <w:rPr>
          <w:sz w:val="24"/>
        </w:rPr>
        <w:t xml:space="preserve"> nonché dell’art. 9, comma 33, del D.L. 78/2010</w:t>
      </w:r>
      <w:r w:rsidRPr="00A85FC0">
        <w:rPr>
          <w:sz w:val="24"/>
        </w:rPr>
        <w:t>.</w:t>
      </w:r>
    </w:p>
    <w:p w:rsidR="00AC0DA4" w:rsidRPr="004963D0" w:rsidRDefault="00AC0DA4" w:rsidP="00C02D64">
      <w:pPr>
        <w:numPr>
          <w:ilvl w:val="0"/>
          <w:numId w:val="5"/>
        </w:numPr>
        <w:tabs>
          <w:tab w:val="clear" w:pos="720"/>
          <w:tab w:val="num" w:pos="426"/>
        </w:tabs>
        <w:autoSpaceDN/>
        <w:spacing w:before="120" w:line="360" w:lineRule="auto"/>
        <w:ind w:left="426"/>
        <w:jc w:val="both"/>
        <w:rPr>
          <w:sz w:val="24"/>
        </w:rPr>
      </w:pPr>
      <w:r w:rsidRPr="001D1877">
        <w:rPr>
          <w:sz w:val="24"/>
        </w:rPr>
        <w:t xml:space="preserve">A seguito dell’emanazione dei relativi provvedimenti amministrativi ed in un’unica soluzione, </w:t>
      </w:r>
      <w:r w:rsidRPr="001962F1">
        <w:rPr>
          <w:sz w:val="24"/>
        </w:rPr>
        <w:t xml:space="preserve">il Dipartimento trasferisce le </w:t>
      </w:r>
      <w:r w:rsidRPr="004963D0">
        <w:rPr>
          <w:sz w:val="24"/>
        </w:rPr>
        <w:t xml:space="preserve">risorse per la corresponsione al personale dell’indennità di vacanza contrattuale a </w:t>
      </w:r>
      <w:r w:rsidR="004A01FE">
        <w:rPr>
          <w:sz w:val="24"/>
        </w:rPr>
        <w:t>decorrere</w:t>
      </w:r>
      <w:r w:rsidRPr="004963D0">
        <w:rPr>
          <w:sz w:val="24"/>
        </w:rPr>
        <w:t xml:space="preserve"> dall’esercizio 2010 fino ai rinnovi </w:t>
      </w:r>
      <w:r w:rsidRPr="004963D0">
        <w:rPr>
          <w:sz w:val="24"/>
        </w:rPr>
        <w:lastRenderedPageBreak/>
        <w:t>contrattuali, nei limiti della quota parte prevista sul fondo</w:t>
      </w:r>
      <w:r w:rsidR="004A01FE">
        <w:rPr>
          <w:sz w:val="24"/>
        </w:rPr>
        <w:t xml:space="preserve"> contratti del pubblico impiego.</w:t>
      </w:r>
    </w:p>
    <w:p w:rsidR="00AC0DA4" w:rsidRPr="00F14F91" w:rsidRDefault="00AC0DA4" w:rsidP="00C02D64">
      <w:pPr>
        <w:numPr>
          <w:ilvl w:val="0"/>
          <w:numId w:val="5"/>
        </w:numPr>
        <w:tabs>
          <w:tab w:val="clear" w:pos="720"/>
          <w:tab w:val="num" w:pos="426"/>
        </w:tabs>
        <w:autoSpaceDN/>
        <w:spacing w:before="120" w:line="360" w:lineRule="auto"/>
        <w:ind w:left="426"/>
        <w:jc w:val="both"/>
        <w:rPr>
          <w:sz w:val="24"/>
        </w:rPr>
      </w:pPr>
      <w:r w:rsidRPr="00F14F91">
        <w:rPr>
          <w:sz w:val="24"/>
        </w:rPr>
        <w:t>Gli importi di cui ai commi 3, 4, 5, 6 e 7 sono erogati sul conto di Tesoreria unica n. 12105 “Agenzia delle Entrate” presso la Banca d’Italia, nel rispetto delle regole che disciplinano l’esercizio della Tesoreria unica.</w:t>
      </w:r>
    </w:p>
    <w:p w:rsidR="00AC0DA4" w:rsidRPr="00F14F91" w:rsidRDefault="00AC0DA4" w:rsidP="00C02D64">
      <w:pPr>
        <w:numPr>
          <w:ilvl w:val="0"/>
          <w:numId w:val="5"/>
        </w:numPr>
        <w:tabs>
          <w:tab w:val="clear" w:pos="720"/>
          <w:tab w:val="num" w:pos="426"/>
        </w:tabs>
        <w:autoSpaceDN/>
        <w:spacing w:before="120" w:line="360" w:lineRule="auto"/>
        <w:ind w:left="426"/>
        <w:jc w:val="both"/>
        <w:rPr>
          <w:sz w:val="24"/>
        </w:rPr>
      </w:pPr>
      <w:r w:rsidRPr="00F14F91">
        <w:rPr>
          <w:sz w:val="24"/>
        </w:rPr>
        <w:t>La gestione dei residui propri, derivanti da impegni assunti fino al 31 dicembre 2000 dal soppresso Dipartimento delle Entrate, è affidata al Dipartimento che può operare anche tramite funzionario delegato degli Uffici dell’Agenzia. Gli adempimenti cui è tenuta l’Agenzia sono disciplinati dalla circolare n. 13266 del 13 novembre 2009.</w:t>
      </w:r>
    </w:p>
    <w:p w:rsidR="00AC0DA4" w:rsidRPr="00F14F91" w:rsidRDefault="00AC0DA4" w:rsidP="00C02D64">
      <w:pPr>
        <w:numPr>
          <w:ilvl w:val="0"/>
          <w:numId w:val="5"/>
        </w:numPr>
        <w:tabs>
          <w:tab w:val="clear" w:pos="720"/>
          <w:tab w:val="num" w:pos="426"/>
        </w:tabs>
        <w:autoSpaceDN/>
        <w:spacing w:before="120" w:line="360" w:lineRule="auto"/>
        <w:ind w:left="426"/>
        <w:jc w:val="both"/>
        <w:rPr>
          <w:sz w:val="24"/>
        </w:rPr>
      </w:pPr>
      <w:r w:rsidRPr="00F14F91">
        <w:rPr>
          <w:sz w:val="24"/>
        </w:rPr>
        <w:t>La gestione dei pagamenti relativi alla restituzione e rimborsi di imposte e relativi interessi di mora ed alle imposte sui beni dello Stato è affidata al Dipartimento. Resta a carico dell’Agenzia la messa in atto delle procedure per la predisposizione degli schemi di decreto, degli ordini di accreditamento e/o di pagamento e degli schemi di richiesta di integrazione di somme e/o di variazioni compensative.</w:t>
      </w:r>
    </w:p>
    <w:p w:rsidR="00AC0DA4" w:rsidRDefault="00AC0DA4" w:rsidP="009E1B5A">
      <w:pPr>
        <w:autoSpaceDN/>
        <w:spacing w:before="120" w:after="120"/>
        <w:jc w:val="both"/>
        <w:rPr>
          <w:sz w:val="24"/>
        </w:rPr>
      </w:pPr>
    </w:p>
    <w:p w:rsidR="00AC0DA4" w:rsidRPr="00F14F91" w:rsidRDefault="00AC0DA4" w:rsidP="009E1B5A">
      <w:pPr>
        <w:autoSpaceDN/>
        <w:spacing w:before="120" w:after="120"/>
        <w:jc w:val="both"/>
        <w:rPr>
          <w:sz w:val="24"/>
        </w:rPr>
      </w:pPr>
    </w:p>
    <w:p w:rsidR="00AC0DA4" w:rsidRPr="00F14F91" w:rsidRDefault="00AC0DA4" w:rsidP="007D22B0">
      <w:pPr>
        <w:pStyle w:val="Articolo"/>
        <w:spacing w:before="120"/>
        <w:jc w:val="center"/>
        <w:rPr>
          <w:rFonts w:cs="Arial"/>
          <w:szCs w:val="24"/>
        </w:rPr>
      </w:pPr>
      <w:r w:rsidRPr="00F14F91">
        <w:rPr>
          <w:rFonts w:cs="Arial"/>
          <w:szCs w:val="24"/>
        </w:rPr>
        <w:t>Articolo 5</w:t>
      </w:r>
    </w:p>
    <w:p w:rsidR="00AC0DA4" w:rsidRPr="00F14F91" w:rsidRDefault="00AC0DA4" w:rsidP="007D22B0">
      <w:pPr>
        <w:pStyle w:val="Articolo"/>
        <w:spacing w:before="120"/>
        <w:jc w:val="center"/>
        <w:rPr>
          <w:rFonts w:cs="Arial"/>
          <w:i/>
          <w:szCs w:val="24"/>
        </w:rPr>
      </w:pPr>
      <w:r w:rsidRPr="00F14F91">
        <w:rPr>
          <w:rFonts w:cs="Arial"/>
          <w:i/>
          <w:szCs w:val="24"/>
        </w:rPr>
        <w:t>Modifiche della Convenzione</w:t>
      </w:r>
    </w:p>
    <w:p w:rsidR="00AC0DA4" w:rsidRPr="00F14F91" w:rsidRDefault="00AC0DA4" w:rsidP="00C02D64">
      <w:pPr>
        <w:numPr>
          <w:ilvl w:val="0"/>
          <w:numId w:val="14"/>
        </w:numPr>
        <w:tabs>
          <w:tab w:val="clear" w:pos="360"/>
          <w:tab w:val="num" w:pos="426"/>
        </w:tabs>
        <w:autoSpaceDE/>
        <w:autoSpaceDN/>
        <w:spacing w:before="240" w:line="360" w:lineRule="auto"/>
        <w:ind w:left="426" w:hanging="357"/>
        <w:jc w:val="both"/>
        <w:rPr>
          <w:rFonts w:cs="Arial"/>
          <w:sz w:val="24"/>
        </w:rPr>
      </w:pPr>
      <w:r w:rsidRPr="00F14F91">
        <w:rPr>
          <w:rFonts w:cs="Arial"/>
          <w:sz w:val="24"/>
        </w:rPr>
        <w:t>Qualora nel corso di ciascun esercizio del triennio subentrino rilevanti mutamenti nel quadro economico nazionale ovvero modifiche normative, variazioni attinenti a significativi profili organizzativi ovvero variazioni delle risorse finanziarie rese disponibili che incidano in maniera sostanziale sul conseguimento degli obiettivi del Piano delle attività, si provvede, su richiesta di una delle parti, a concordare le modifiche e le integrazioni necessarie alla presente Convenzione ed ai relativi adeguamenti annuali. Gli atti modificativi o integrativi, stipulati con le medesime modalità della presente Convenzione, devono prevedere la quantificazione dei relativi costi e, qualora comportino oneri aggiuntivi a carico del Bilancio dello Stato, non possono essere approvati se non è intervenuta la variazione dei relativi stanziamenti.</w:t>
      </w:r>
    </w:p>
    <w:p w:rsidR="00AC0DA4" w:rsidRDefault="00AC0DA4" w:rsidP="00C02D64">
      <w:pPr>
        <w:numPr>
          <w:ilvl w:val="0"/>
          <w:numId w:val="14"/>
        </w:numPr>
        <w:tabs>
          <w:tab w:val="clear" w:pos="360"/>
          <w:tab w:val="num" w:pos="426"/>
        </w:tabs>
        <w:autoSpaceDE/>
        <w:autoSpaceDN/>
        <w:spacing w:before="120" w:line="360" w:lineRule="auto"/>
        <w:ind w:left="426" w:hanging="357"/>
        <w:jc w:val="both"/>
        <w:rPr>
          <w:rFonts w:cs="Arial"/>
          <w:sz w:val="24"/>
        </w:rPr>
      </w:pPr>
      <w:r w:rsidRPr="00F14F91">
        <w:rPr>
          <w:rFonts w:cs="Arial"/>
          <w:sz w:val="24"/>
        </w:rPr>
        <w:t xml:space="preserve">Qualora nel corso della gestione si constatino avanzamenti anomali del livello di conseguimento degli obiettivi rispetto ai risultati pianificati ovvero si ritenga necessario modificare singoli obiettivi del Piano delle attività per cause diverse da quelle previste dal comma precedente, su richiesta di una delle parti, previo accordo tra Dipartimento </w:t>
      </w:r>
      <w:r w:rsidRPr="00F14F91">
        <w:rPr>
          <w:rFonts w:cs="Arial"/>
          <w:sz w:val="24"/>
        </w:rPr>
        <w:lastRenderedPageBreak/>
        <w:t>ed Agenzia e a seguito di informativa al Sig. Ministro, si provvede alle necessarie modifiche della presente Convenzione senza ricorrere alle modalità di cui al comma 1.</w:t>
      </w:r>
    </w:p>
    <w:p w:rsidR="00AC0DA4" w:rsidRPr="00F14F91" w:rsidRDefault="00AC0DA4" w:rsidP="003A6175">
      <w:pPr>
        <w:pStyle w:val="articolo0"/>
        <w:spacing w:before="120"/>
        <w:jc w:val="center"/>
      </w:pPr>
    </w:p>
    <w:p w:rsidR="00AC0DA4" w:rsidRPr="00F14F91" w:rsidRDefault="00AC0DA4" w:rsidP="007D22B0">
      <w:pPr>
        <w:pStyle w:val="articolo0"/>
        <w:spacing w:before="120"/>
      </w:pPr>
    </w:p>
    <w:p w:rsidR="00AC0DA4" w:rsidRPr="00F14F91" w:rsidRDefault="00AC0DA4" w:rsidP="007A515F">
      <w:pPr>
        <w:pStyle w:val="Articolo"/>
        <w:spacing w:before="120"/>
        <w:jc w:val="center"/>
        <w:rPr>
          <w:rFonts w:cs="Arial"/>
          <w:i/>
          <w:szCs w:val="24"/>
        </w:rPr>
      </w:pPr>
      <w:r w:rsidRPr="00F14F91">
        <w:rPr>
          <w:rFonts w:cs="Arial"/>
          <w:szCs w:val="24"/>
        </w:rPr>
        <w:t>Articolo 6</w:t>
      </w:r>
      <w:r w:rsidRPr="00F14F91">
        <w:rPr>
          <w:rFonts w:cs="Arial"/>
          <w:szCs w:val="24"/>
        </w:rPr>
        <w:br/>
      </w:r>
      <w:r w:rsidRPr="00F14F91">
        <w:rPr>
          <w:rFonts w:cs="Arial"/>
          <w:i/>
          <w:szCs w:val="24"/>
        </w:rPr>
        <w:t>Controversie</w:t>
      </w:r>
    </w:p>
    <w:p w:rsidR="00AC0DA4" w:rsidRPr="00C02D64" w:rsidRDefault="00AC0DA4" w:rsidP="00C02D64">
      <w:pPr>
        <w:pStyle w:val="Paragrafoelenco"/>
        <w:keepLines/>
        <w:numPr>
          <w:ilvl w:val="1"/>
          <w:numId w:val="3"/>
        </w:numPr>
        <w:tabs>
          <w:tab w:val="clear" w:pos="540"/>
          <w:tab w:val="num" w:pos="-5954"/>
          <w:tab w:val="left" w:pos="426"/>
        </w:tabs>
        <w:spacing w:before="240" w:line="360" w:lineRule="auto"/>
        <w:ind w:left="426"/>
        <w:jc w:val="both"/>
        <w:rPr>
          <w:rFonts w:cs="Arial"/>
          <w:sz w:val="24"/>
        </w:rPr>
      </w:pPr>
      <w:r w:rsidRPr="00C02D64">
        <w:rPr>
          <w:rFonts w:cs="Arial"/>
          <w:sz w:val="24"/>
        </w:rPr>
        <w:t>Nel caso di contestazioni sulla interpretazione e/o sull’applicazione della Convenzione, con particolare riguardo alla fase di verifica dei risultati, ed in ogni altro caso previsto nella presente Convenzione, ciascuna parte comunica all'altra per iscritto l'oggetto e i motivi della contestazione. Le parti si impegnano ad esaminare congiuntamente la questione entro il termine massimo di 5 giorni lavorativi dalla comunicazione, al fine di comporre amichevolmente la vertenza.</w:t>
      </w:r>
    </w:p>
    <w:p w:rsidR="00AC0DA4" w:rsidRPr="00C02D64" w:rsidRDefault="00AC0DA4" w:rsidP="00C02D64">
      <w:pPr>
        <w:pStyle w:val="Paragrafoelenco"/>
        <w:keepLines/>
        <w:numPr>
          <w:ilvl w:val="1"/>
          <w:numId w:val="3"/>
        </w:numPr>
        <w:tabs>
          <w:tab w:val="clear" w:pos="540"/>
          <w:tab w:val="num" w:pos="-5954"/>
          <w:tab w:val="left" w:pos="426"/>
        </w:tabs>
        <w:spacing w:before="120" w:line="360" w:lineRule="auto"/>
        <w:ind w:left="426"/>
        <w:jc w:val="both"/>
        <w:rPr>
          <w:rFonts w:cs="Arial"/>
          <w:sz w:val="24"/>
        </w:rPr>
      </w:pPr>
      <w:r w:rsidRPr="00C02D64">
        <w:rPr>
          <w:rFonts w:cs="Arial"/>
          <w:sz w:val="24"/>
        </w:rPr>
        <w:t>Nell'ipotesi di esito negativo del tentativo di composizione, la questione è rimessa alla valutazione di una commissione appositamente nominata e composta da:</w:t>
      </w:r>
    </w:p>
    <w:p w:rsidR="00AC0DA4" w:rsidRPr="00F14F91" w:rsidRDefault="00AC0DA4" w:rsidP="00C02D64">
      <w:pPr>
        <w:keepLines/>
        <w:spacing w:before="120" w:line="360" w:lineRule="auto"/>
        <w:ind w:left="851" w:hanging="283"/>
        <w:jc w:val="both"/>
        <w:rPr>
          <w:rFonts w:cs="Arial"/>
          <w:sz w:val="24"/>
        </w:rPr>
      </w:pPr>
      <w:r w:rsidRPr="00F14F91">
        <w:rPr>
          <w:rFonts w:cs="Arial"/>
          <w:sz w:val="24"/>
        </w:rPr>
        <w:t>a)</w:t>
      </w:r>
      <w:r w:rsidRPr="00F14F91">
        <w:rPr>
          <w:rFonts w:cs="Arial"/>
          <w:sz w:val="24"/>
        </w:rPr>
        <w:tab/>
        <w:t>tre membri, nominati dal Ministro, tra i quali un magistrato o un professore universitario o una personalità con profilo equiparato che la presiede;</w:t>
      </w:r>
    </w:p>
    <w:p w:rsidR="00AC0DA4" w:rsidRPr="00F14F91" w:rsidRDefault="00AC0DA4" w:rsidP="00C02D64">
      <w:pPr>
        <w:keepLines/>
        <w:spacing w:before="120" w:line="360" w:lineRule="auto"/>
        <w:ind w:left="851" w:hanging="283"/>
        <w:jc w:val="both"/>
        <w:rPr>
          <w:rFonts w:cs="Arial"/>
          <w:sz w:val="24"/>
        </w:rPr>
      </w:pPr>
      <w:r w:rsidRPr="00F14F91">
        <w:rPr>
          <w:rFonts w:cs="Arial"/>
          <w:sz w:val="24"/>
        </w:rPr>
        <w:t>b)</w:t>
      </w:r>
      <w:r w:rsidRPr="00F14F91">
        <w:rPr>
          <w:rFonts w:cs="Arial"/>
          <w:sz w:val="24"/>
        </w:rPr>
        <w:tab/>
        <w:t>il Direttore Generale delle Finanze;</w:t>
      </w:r>
    </w:p>
    <w:p w:rsidR="00AC0DA4" w:rsidRPr="00F14F91" w:rsidRDefault="00AC0DA4" w:rsidP="00C02D64">
      <w:pPr>
        <w:keepLines/>
        <w:spacing w:before="120" w:line="360" w:lineRule="auto"/>
        <w:ind w:left="851" w:hanging="283"/>
        <w:jc w:val="both"/>
        <w:rPr>
          <w:rFonts w:cs="Arial"/>
          <w:sz w:val="24"/>
        </w:rPr>
      </w:pPr>
      <w:r w:rsidRPr="00F14F91">
        <w:rPr>
          <w:rFonts w:cs="Arial"/>
          <w:sz w:val="24"/>
        </w:rPr>
        <w:t>c)</w:t>
      </w:r>
      <w:r w:rsidRPr="00F14F91">
        <w:rPr>
          <w:rFonts w:cs="Arial"/>
          <w:sz w:val="24"/>
        </w:rPr>
        <w:tab/>
        <w:t>il Direttore dell'Agenzia.</w:t>
      </w:r>
    </w:p>
    <w:p w:rsidR="00AC0DA4" w:rsidRPr="00C02D64" w:rsidRDefault="00AC0DA4" w:rsidP="00C02D64">
      <w:pPr>
        <w:pStyle w:val="Paragrafoelenco"/>
        <w:keepLines/>
        <w:numPr>
          <w:ilvl w:val="1"/>
          <w:numId w:val="3"/>
        </w:numPr>
        <w:tabs>
          <w:tab w:val="clear" w:pos="540"/>
          <w:tab w:val="num" w:pos="-5954"/>
          <w:tab w:val="left" w:pos="426"/>
        </w:tabs>
        <w:spacing w:before="120" w:line="360" w:lineRule="auto"/>
        <w:ind w:left="426"/>
        <w:jc w:val="both"/>
        <w:rPr>
          <w:rFonts w:cs="Arial"/>
          <w:sz w:val="24"/>
        </w:rPr>
      </w:pPr>
      <w:r w:rsidRPr="00C02D64">
        <w:rPr>
          <w:rFonts w:cs="Arial"/>
          <w:sz w:val="24"/>
        </w:rPr>
        <w:t>Sulla base delle conclusioni della commissione, il Ministro adotta una direttiva alla quale il Dipartimento e l'Agenzia si conformano nelle proprie decisioni, anche in applicazione, se necessario, del principio di autotutela.</w:t>
      </w:r>
    </w:p>
    <w:p w:rsidR="00AC0DA4" w:rsidRPr="00C02D64" w:rsidRDefault="00AC0DA4" w:rsidP="00C02D64">
      <w:pPr>
        <w:pStyle w:val="Paragrafoelenco"/>
        <w:keepLines/>
        <w:numPr>
          <w:ilvl w:val="1"/>
          <w:numId w:val="3"/>
        </w:numPr>
        <w:tabs>
          <w:tab w:val="clear" w:pos="540"/>
          <w:tab w:val="num" w:pos="-5954"/>
          <w:tab w:val="left" w:pos="426"/>
        </w:tabs>
        <w:spacing w:before="120" w:line="360" w:lineRule="auto"/>
        <w:ind w:left="426"/>
        <w:jc w:val="both"/>
        <w:rPr>
          <w:rFonts w:cs="Arial"/>
          <w:sz w:val="24"/>
        </w:rPr>
      </w:pPr>
      <w:r w:rsidRPr="00C02D64">
        <w:rPr>
          <w:rFonts w:cs="Arial"/>
          <w:sz w:val="24"/>
        </w:rPr>
        <w:t>La commissione di cui al comma 2 del presente articolo opera gratuitamente.</w:t>
      </w:r>
    </w:p>
    <w:p w:rsidR="00AC0DA4" w:rsidRPr="00C02D64" w:rsidRDefault="00AC0DA4" w:rsidP="00C02D64">
      <w:pPr>
        <w:pStyle w:val="Paragrafoelenco"/>
        <w:keepLines/>
        <w:numPr>
          <w:ilvl w:val="1"/>
          <w:numId w:val="3"/>
        </w:numPr>
        <w:tabs>
          <w:tab w:val="clear" w:pos="540"/>
          <w:tab w:val="num" w:pos="-5954"/>
          <w:tab w:val="left" w:pos="426"/>
        </w:tabs>
        <w:spacing w:before="120" w:line="360" w:lineRule="auto"/>
        <w:ind w:left="426"/>
        <w:jc w:val="both"/>
        <w:rPr>
          <w:rFonts w:cs="Arial"/>
          <w:sz w:val="24"/>
        </w:rPr>
      </w:pPr>
      <w:r w:rsidRPr="00C02D64">
        <w:rPr>
          <w:rFonts w:cs="Arial"/>
          <w:sz w:val="24"/>
        </w:rPr>
        <w:t>Eventuali contestazioni in atto non pregiudicano in alcun modo la regolare esecuzione della Convenzione, né consentono alcuna sospensione delle prestazioni dovute dall'una e dall'altra parte. Per le questioni in contestazione, le parti si impegnano a concordare di volta in volta, in via provvisoria, le modalità di parziale esecuzione che meglio garantiscano il pubblico interesse e il buon andamento dell'attività amministrativa.</w:t>
      </w:r>
    </w:p>
    <w:p w:rsidR="00AC0DA4" w:rsidRPr="00C02D64" w:rsidRDefault="00AC0DA4" w:rsidP="00C02D64">
      <w:pPr>
        <w:pStyle w:val="Paragrafoelenco"/>
        <w:keepLines/>
        <w:numPr>
          <w:ilvl w:val="1"/>
          <w:numId w:val="3"/>
        </w:numPr>
        <w:tabs>
          <w:tab w:val="clear" w:pos="540"/>
          <w:tab w:val="num" w:pos="-5954"/>
          <w:tab w:val="left" w:pos="426"/>
        </w:tabs>
        <w:spacing w:before="120" w:line="360" w:lineRule="auto"/>
        <w:ind w:left="426"/>
        <w:jc w:val="both"/>
        <w:rPr>
          <w:rFonts w:cs="Arial"/>
          <w:sz w:val="24"/>
        </w:rPr>
      </w:pPr>
      <w:r w:rsidRPr="00C02D64">
        <w:rPr>
          <w:rFonts w:cs="Arial"/>
          <w:sz w:val="24"/>
        </w:rPr>
        <w:t>Salvo una diversa regolamentazione in specifici atti negoziali, le contr</w:t>
      </w:r>
      <w:r w:rsidR="008C6848" w:rsidRPr="00C02D64">
        <w:rPr>
          <w:rFonts w:cs="Arial"/>
          <w:sz w:val="24"/>
        </w:rPr>
        <w:t>oversie insorte tra le Agenzie,</w:t>
      </w:r>
      <w:r w:rsidRPr="00C02D64">
        <w:rPr>
          <w:rFonts w:cs="Arial"/>
          <w:sz w:val="24"/>
        </w:rPr>
        <w:t xml:space="preserve"> ovvero tra le Agenzie e la Guardia di Finanza o gli altri Enti e Organi che operano nel settore della fiscalità statale sono sottoposte, in caso di esito negativo dei tentativi di amichevole componimento, al Ministro che adotta, nell'esercizio delle sue funzioni sull'intero settore, le iniziative idonee a risolvere la questione.</w:t>
      </w:r>
    </w:p>
    <w:p w:rsidR="00AC0DA4" w:rsidRDefault="00AC0DA4" w:rsidP="000A30C9">
      <w:pPr>
        <w:keepLines/>
        <w:spacing w:after="120"/>
        <w:rPr>
          <w:b/>
        </w:rPr>
      </w:pPr>
    </w:p>
    <w:p w:rsidR="00AC0DA4" w:rsidRPr="00F14F91" w:rsidRDefault="00AC0DA4" w:rsidP="003A6175">
      <w:pPr>
        <w:keepLines/>
        <w:spacing w:before="120" w:after="120"/>
        <w:rPr>
          <w:b/>
        </w:rPr>
      </w:pPr>
    </w:p>
    <w:p w:rsidR="00AC0DA4" w:rsidRPr="00F14F91" w:rsidRDefault="00AC0DA4" w:rsidP="003A6175">
      <w:pPr>
        <w:keepLines/>
        <w:spacing w:before="120" w:after="120"/>
        <w:rPr>
          <w:b/>
        </w:rPr>
      </w:pPr>
    </w:p>
    <w:p w:rsidR="00AC0DA4" w:rsidRPr="00F14F91" w:rsidRDefault="00AC0DA4" w:rsidP="003A6175">
      <w:pPr>
        <w:pStyle w:val="protocollo"/>
        <w:keepLines/>
        <w:spacing w:before="120" w:after="120"/>
        <w:rPr>
          <w:i/>
        </w:rPr>
      </w:pPr>
      <w:r w:rsidRPr="00F14F91">
        <w:rPr>
          <w:b/>
          <w:i/>
        </w:rPr>
        <w:t>Roma, li</w:t>
      </w:r>
      <w:r w:rsidRPr="00F14F91">
        <w:rPr>
          <w:i/>
        </w:rPr>
        <w:t>_______________</w:t>
      </w:r>
    </w:p>
    <w:p w:rsidR="00AC0DA4" w:rsidRPr="00F14F91" w:rsidRDefault="00AC0DA4" w:rsidP="003A6175">
      <w:pPr>
        <w:pStyle w:val="protocollo"/>
        <w:keepLines/>
        <w:spacing w:before="120" w:after="120"/>
        <w:rPr>
          <w:i/>
        </w:rPr>
      </w:pPr>
    </w:p>
    <w:p w:rsidR="00AC0DA4" w:rsidRDefault="00AC0DA4" w:rsidP="003A6175">
      <w:pPr>
        <w:keepLines/>
        <w:tabs>
          <w:tab w:val="left" w:pos="5812"/>
        </w:tabs>
        <w:spacing w:before="120" w:after="120"/>
        <w:rPr>
          <w:i/>
          <w:sz w:val="24"/>
          <w:szCs w:val="20"/>
        </w:rPr>
      </w:pPr>
    </w:p>
    <w:p w:rsidR="00AC0DA4" w:rsidRPr="00F14F91" w:rsidRDefault="00AC0DA4" w:rsidP="003A6175">
      <w:pPr>
        <w:keepLines/>
        <w:tabs>
          <w:tab w:val="left" w:pos="5812"/>
        </w:tabs>
        <w:spacing w:before="120" w:after="120"/>
        <w:rPr>
          <w:b/>
          <w:i/>
          <w:sz w:val="24"/>
        </w:rPr>
      </w:pPr>
      <w:r>
        <w:rPr>
          <w:b/>
          <w:i/>
          <w:sz w:val="24"/>
        </w:rPr>
        <w:t>Il Ministro dell’Economia e delle Finanze</w:t>
      </w:r>
      <w:r w:rsidRPr="00F14F91">
        <w:rPr>
          <w:b/>
          <w:i/>
          <w:sz w:val="24"/>
        </w:rPr>
        <w:tab/>
      </w:r>
      <w:r w:rsidRPr="00F14F91">
        <w:rPr>
          <w:b/>
          <w:i/>
          <w:sz w:val="24"/>
        </w:rPr>
        <w:tab/>
        <w:t>Il Direttore dell’Agenzia</w:t>
      </w:r>
    </w:p>
    <w:p w:rsidR="00AC0DA4" w:rsidRPr="000A30C9" w:rsidRDefault="00AC0DA4" w:rsidP="003A6175">
      <w:pPr>
        <w:keepLines/>
        <w:tabs>
          <w:tab w:val="left" w:pos="5812"/>
        </w:tabs>
        <w:spacing w:before="120" w:after="120"/>
        <w:rPr>
          <w:sz w:val="24"/>
        </w:rPr>
      </w:pPr>
    </w:p>
    <w:p w:rsidR="00AC0DA4" w:rsidRPr="007A515F" w:rsidRDefault="00AC0DA4" w:rsidP="000A30C9">
      <w:pPr>
        <w:keepLines/>
        <w:spacing w:before="120" w:after="120"/>
        <w:ind w:firstLine="708"/>
      </w:pPr>
      <w:r>
        <w:t>________</w:t>
      </w:r>
      <w:r w:rsidRPr="00F14F91">
        <w:t>______________</w:t>
      </w:r>
      <w:r>
        <w:t>_____</w:t>
      </w:r>
      <w:r w:rsidR="000A30C9">
        <w:tab/>
      </w:r>
      <w:r w:rsidR="000A30C9">
        <w:tab/>
      </w:r>
      <w:r w:rsidR="000A30C9">
        <w:tab/>
      </w:r>
      <w:r w:rsidR="000A30C9">
        <w:tab/>
      </w:r>
      <w:r w:rsidRPr="00F14F91">
        <w:t>_______________________</w:t>
      </w:r>
      <w:r w:rsidR="000A30C9">
        <w:t>__</w:t>
      </w:r>
      <w:bookmarkEnd w:id="31"/>
      <w:bookmarkEnd w:id="32"/>
    </w:p>
    <w:sectPr w:rsidR="00AC0DA4" w:rsidRPr="007A515F" w:rsidSect="006710CB">
      <w:headerReference w:type="even" r:id="rId11"/>
      <w:footerReference w:type="even" r:id="rId12"/>
      <w:footerReference w:type="default" r:id="rId13"/>
      <w:pgSz w:w="11906" w:h="16838"/>
      <w:pgMar w:top="1417" w:right="1134" w:bottom="1134" w:left="1134"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91E" w:rsidRDefault="00AE191E">
      <w:r>
        <w:separator/>
      </w:r>
    </w:p>
  </w:endnote>
  <w:endnote w:type="continuationSeparator" w:id="0">
    <w:p w:rsidR="00AE191E" w:rsidRDefault="00AE19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OCR A Extended">
    <w:panose1 w:val="02010509020102010303"/>
    <w:charset w:val="00"/>
    <w:family w:val="modern"/>
    <w:pitch w:val="variable"/>
    <w:sig w:usb0="00000003" w:usb1="00000000" w:usb2="00000000" w:usb3="00000000" w:csb0="00000001" w:csb1="00000000"/>
  </w:font>
  <w:font w:name="Arial (W1)">
    <w:altName w:val="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DA4" w:rsidRDefault="00457D8F" w:rsidP="006710CB">
    <w:pPr>
      <w:pStyle w:val="Pidipagina"/>
      <w:framePr w:wrap="around" w:vAnchor="text" w:hAnchor="margin" w:xAlign="center" w:y="1"/>
      <w:rPr>
        <w:rStyle w:val="Numeropagina"/>
      </w:rPr>
    </w:pPr>
    <w:r>
      <w:rPr>
        <w:rStyle w:val="Numeropagina"/>
      </w:rPr>
      <w:fldChar w:fldCharType="begin"/>
    </w:r>
    <w:r w:rsidR="00AC0DA4">
      <w:rPr>
        <w:rStyle w:val="Numeropagina"/>
      </w:rPr>
      <w:instrText xml:space="preserve">PAGE  </w:instrText>
    </w:r>
    <w:r>
      <w:rPr>
        <w:rStyle w:val="Numeropagina"/>
      </w:rPr>
      <w:fldChar w:fldCharType="end"/>
    </w:r>
  </w:p>
  <w:p w:rsidR="00AC0DA4" w:rsidRPr="00707402" w:rsidRDefault="007A27AC" w:rsidP="00A435A8">
    <w:pPr>
      <w:pStyle w:val="Pidipagina"/>
      <w:tabs>
        <w:tab w:val="center" w:pos="5245"/>
      </w:tabs>
      <w:ind w:right="360"/>
      <w:jc w:val="right"/>
      <w:rPr>
        <w:i/>
        <w:sz w:val="18"/>
      </w:rPr>
    </w:pPr>
    <w:r w:rsidRPr="00457D8F">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8.15pt;height:2pt" o:hralign="center" o:hr="t">
          <v:imagedata r:id="rId1" o:title=""/>
        </v:shape>
      </w:pict>
    </w:r>
    <w:r w:rsidR="00AC0DA4" w:rsidRPr="001A2A45">
      <w:rPr>
        <w:i/>
        <w:sz w:val="18"/>
      </w:rPr>
      <w:t>Pag.  di</w:t>
    </w:r>
    <w:r w:rsidR="00AC0DA4">
      <w:rPr>
        <w:i/>
        <w:sz w:val="18"/>
      </w:rPr>
      <w:t xml:space="preserve"> </w:t>
    </w:r>
    <w:r w:rsidR="00AC0DA4" w:rsidRPr="0092357D">
      <w:rPr>
        <w:rStyle w:val="Numeropagina"/>
        <w:i/>
      </w:rPr>
      <w:t>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DA4" w:rsidRDefault="00457D8F" w:rsidP="006710CB">
    <w:pPr>
      <w:pStyle w:val="Pidipagina"/>
      <w:framePr w:wrap="around" w:vAnchor="text" w:hAnchor="margin" w:xAlign="center" w:y="1"/>
      <w:rPr>
        <w:rStyle w:val="Numeropagina"/>
      </w:rPr>
    </w:pPr>
    <w:r>
      <w:rPr>
        <w:rStyle w:val="Numeropagina"/>
      </w:rPr>
      <w:fldChar w:fldCharType="begin"/>
    </w:r>
    <w:r w:rsidR="00AC0DA4">
      <w:rPr>
        <w:rStyle w:val="Numeropagina"/>
      </w:rPr>
      <w:instrText xml:space="preserve">PAGE  </w:instrText>
    </w:r>
    <w:r>
      <w:rPr>
        <w:rStyle w:val="Numeropagina"/>
      </w:rPr>
      <w:fldChar w:fldCharType="separate"/>
    </w:r>
    <w:r w:rsidR="007A27AC">
      <w:rPr>
        <w:rStyle w:val="Numeropagina"/>
        <w:noProof/>
      </w:rPr>
      <w:t>2</w:t>
    </w:r>
    <w:r>
      <w:rPr>
        <w:rStyle w:val="Numeropagina"/>
      </w:rPr>
      <w:fldChar w:fldCharType="end"/>
    </w:r>
  </w:p>
  <w:p w:rsidR="00AC0DA4" w:rsidRPr="00672E2D" w:rsidRDefault="00AC0DA4" w:rsidP="00A435A8">
    <w:pPr>
      <w:pStyle w:val="Pidipagina"/>
      <w:tabs>
        <w:tab w:val="center" w:pos="5245"/>
      </w:tabs>
      <w:ind w:right="360"/>
      <w:jc w:val="center"/>
      <w:rPr>
        <w:rFonts w:ascii="Arial Narrow" w:hAnsi="Arial Narrow"/>
        <w:szCs w:val="20"/>
      </w:rPr>
    </w:pPr>
    <w:r w:rsidRPr="00672E2D">
      <w:rPr>
        <w:rFonts w:ascii="Arial Narrow" w:hAnsi="Arial Narrow"/>
        <w:szCs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91E" w:rsidRDefault="00AE191E">
      <w:r>
        <w:separator/>
      </w:r>
    </w:p>
  </w:footnote>
  <w:footnote w:type="continuationSeparator" w:id="0">
    <w:p w:rsidR="00AE191E" w:rsidRDefault="00AE19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DA4" w:rsidRDefault="00AC0DA4" w:rsidP="003A6175">
    <w:pPr>
      <w:pStyle w:val="Intestazione"/>
      <w:jc w:val="left"/>
      <w:rPr>
        <w:i/>
      </w:rPr>
    </w:pPr>
    <w:r>
      <w:rPr>
        <w:i/>
      </w:rPr>
      <w:t>Proposta di linee guida per le Convenzioni 2009-2011</w:t>
    </w:r>
  </w:p>
  <w:p w:rsidR="00AC0DA4" w:rsidRPr="00703B71" w:rsidRDefault="00AC0DA4" w:rsidP="003A6175">
    <w:pPr>
      <w:pStyle w:val="Intestazione"/>
      <w:jc w:val="left"/>
      <w:rPr>
        <w:i/>
      </w:rPr>
    </w:pPr>
    <w:r>
      <w:rPr>
        <w:i/>
      </w:rPr>
      <w:t>Allegato 1</w:t>
    </w:r>
  </w:p>
  <w:p w:rsidR="00AC0DA4" w:rsidRPr="002A5A1D" w:rsidRDefault="007A27AC" w:rsidP="003A6175">
    <w:pPr>
      <w:pStyle w:val="Intestazione"/>
      <w:jc w:val="right"/>
    </w:pPr>
    <w:r w:rsidRPr="00457D8F">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15pt;height:2pt" o:hralign="center" o:hr="t">
          <v:imagedata r:id="rId1" o:title=""/>
        </v:shape>
      </w:pict>
    </w:r>
  </w:p>
  <w:p w:rsidR="00AC0DA4" w:rsidRDefault="00AC0DA4">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6E31"/>
    <w:multiLevelType w:val="hybridMultilevel"/>
    <w:tmpl w:val="298E8570"/>
    <w:lvl w:ilvl="0" w:tplc="39EED3CA">
      <w:start w:val="1"/>
      <w:numFmt w:val="bullet"/>
      <w:lvlText w:val=""/>
      <w:lvlJc w:val="left"/>
      <w:pPr>
        <w:tabs>
          <w:tab w:val="num" w:pos="1287"/>
        </w:tabs>
        <w:ind w:left="1287"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51A5948"/>
    <w:multiLevelType w:val="hybridMultilevel"/>
    <w:tmpl w:val="DC8A42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5C57CA8"/>
    <w:multiLevelType w:val="hybridMultilevel"/>
    <w:tmpl w:val="D7824586"/>
    <w:lvl w:ilvl="0" w:tplc="9C388DA8">
      <w:start w:val="1"/>
      <w:numFmt w:val="lowerLetter"/>
      <w:lvlText w:val="%1)"/>
      <w:lvlJc w:val="left"/>
      <w:pPr>
        <w:tabs>
          <w:tab w:val="num" w:pos="1068"/>
        </w:tabs>
        <w:ind w:left="1068" w:hanging="708"/>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nsid w:val="060233BF"/>
    <w:multiLevelType w:val="multilevel"/>
    <w:tmpl w:val="A38E23EE"/>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FFB4609"/>
    <w:multiLevelType w:val="hybridMultilevel"/>
    <w:tmpl w:val="25D83EE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nsid w:val="142B7672"/>
    <w:multiLevelType w:val="multilevel"/>
    <w:tmpl w:val="A38E23EE"/>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nsid w:val="173321B9"/>
    <w:multiLevelType w:val="hybridMultilevel"/>
    <w:tmpl w:val="BA42E758"/>
    <w:lvl w:ilvl="0" w:tplc="BF443204">
      <w:start w:val="1"/>
      <w:numFmt w:val="decimal"/>
      <w:lvlText w:val="%1."/>
      <w:lvlJc w:val="left"/>
      <w:pPr>
        <w:tabs>
          <w:tab w:val="num" w:pos="360"/>
        </w:tabs>
        <w:ind w:left="360" w:hanging="360"/>
      </w:pPr>
      <w:rPr>
        <w:rFonts w:cs="Times New Roman" w:hint="default"/>
      </w:rPr>
    </w:lvl>
    <w:lvl w:ilvl="1" w:tplc="3B2423F4">
      <w:numFmt w:val="none"/>
      <w:lvlText w:val=""/>
      <w:lvlJc w:val="left"/>
      <w:pPr>
        <w:tabs>
          <w:tab w:val="num" w:pos="360"/>
        </w:tabs>
      </w:pPr>
      <w:rPr>
        <w:rFonts w:cs="Times New Roman"/>
      </w:rPr>
    </w:lvl>
    <w:lvl w:ilvl="2" w:tplc="8B5844D4">
      <w:numFmt w:val="none"/>
      <w:lvlText w:val=""/>
      <w:lvlJc w:val="left"/>
      <w:pPr>
        <w:tabs>
          <w:tab w:val="num" w:pos="360"/>
        </w:tabs>
      </w:pPr>
      <w:rPr>
        <w:rFonts w:cs="Times New Roman"/>
      </w:rPr>
    </w:lvl>
    <w:lvl w:ilvl="3" w:tplc="057CE0D4">
      <w:numFmt w:val="none"/>
      <w:lvlText w:val=""/>
      <w:lvlJc w:val="left"/>
      <w:pPr>
        <w:tabs>
          <w:tab w:val="num" w:pos="360"/>
        </w:tabs>
      </w:pPr>
      <w:rPr>
        <w:rFonts w:cs="Times New Roman"/>
      </w:rPr>
    </w:lvl>
    <w:lvl w:ilvl="4" w:tplc="D3249D50">
      <w:numFmt w:val="none"/>
      <w:lvlText w:val=""/>
      <w:lvlJc w:val="left"/>
      <w:pPr>
        <w:tabs>
          <w:tab w:val="num" w:pos="360"/>
        </w:tabs>
      </w:pPr>
      <w:rPr>
        <w:rFonts w:cs="Times New Roman"/>
      </w:rPr>
    </w:lvl>
    <w:lvl w:ilvl="5" w:tplc="A0CC50D2">
      <w:numFmt w:val="none"/>
      <w:lvlText w:val=""/>
      <w:lvlJc w:val="left"/>
      <w:pPr>
        <w:tabs>
          <w:tab w:val="num" w:pos="360"/>
        </w:tabs>
      </w:pPr>
      <w:rPr>
        <w:rFonts w:cs="Times New Roman"/>
      </w:rPr>
    </w:lvl>
    <w:lvl w:ilvl="6" w:tplc="11EE198E">
      <w:numFmt w:val="none"/>
      <w:lvlText w:val=""/>
      <w:lvlJc w:val="left"/>
      <w:pPr>
        <w:tabs>
          <w:tab w:val="num" w:pos="360"/>
        </w:tabs>
      </w:pPr>
      <w:rPr>
        <w:rFonts w:cs="Times New Roman"/>
      </w:rPr>
    </w:lvl>
    <w:lvl w:ilvl="7" w:tplc="B1626DBC">
      <w:numFmt w:val="none"/>
      <w:lvlText w:val=""/>
      <w:lvlJc w:val="left"/>
      <w:pPr>
        <w:tabs>
          <w:tab w:val="num" w:pos="360"/>
        </w:tabs>
      </w:pPr>
      <w:rPr>
        <w:rFonts w:cs="Times New Roman"/>
      </w:rPr>
    </w:lvl>
    <w:lvl w:ilvl="8" w:tplc="32F6766A">
      <w:numFmt w:val="none"/>
      <w:lvlText w:val=""/>
      <w:lvlJc w:val="left"/>
      <w:pPr>
        <w:tabs>
          <w:tab w:val="num" w:pos="360"/>
        </w:tabs>
      </w:pPr>
      <w:rPr>
        <w:rFonts w:cs="Times New Roman"/>
      </w:rPr>
    </w:lvl>
  </w:abstractNum>
  <w:abstractNum w:abstractNumId="7">
    <w:nsid w:val="1D6F697E"/>
    <w:multiLevelType w:val="hybridMultilevel"/>
    <w:tmpl w:val="A9CEF5F8"/>
    <w:lvl w:ilvl="0" w:tplc="180A7962">
      <w:start w:val="1"/>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1E9F6677"/>
    <w:multiLevelType w:val="multilevel"/>
    <w:tmpl w:val="A38E23EE"/>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31511C1B"/>
    <w:multiLevelType w:val="multilevel"/>
    <w:tmpl w:val="6A54774E"/>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3FC810A9"/>
    <w:multiLevelType w:val="hybridMultilevel"/>
    <w:tmpl w:val="14A0A400"/>
    <w:lvl w:ilvl="0" w:tplc="1AA6C34E">
      <w:numFmt w:val="bullet"/>
      <w:lvlText w:val="-"/>
      <w:lvlJc w:val="left"/>
      <w:pPr>
        <w:ind w:left="644" w:hanging="360"/>
      </w:pPr>
      <w:rPr>
        <w:rFonts w:ascii="Arial" w:eastAsia="Times New Roman" w:hAnsi="Arial" w:hint="default"/>
      </w:rPr>
    </w:lvl>
    <w:lvl w:ilvl="1" w:tplc="04100003" w:tentative="1">
      <w:start w:val="1"/>
      <w:numFmt w:val="bullet"/>
      <w:lvlText w:val="o"/>
      <w:lvlJc w:val="left"/>
      <w:pPr>
        <w:ind w:left="1364" w:hanging="360"/>
      </w:pPr>
      <w:rPr>
        <w:rFonts w:ascii="Courier New" w:hAnsi="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1">
    <w:nsid w:val="52BA0059"/>
    <w:multiLevelType w:val="hybridMultilevel"/>
    <w:tmpl w:val="3AC4BEA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8226810"/>
    <w:multiLevelType w:val="hybridMultilevel"/>
    <w:tmpl w:val="AA9C8CA6"/>
    <w:lvl w:ilvl="0" w:tplc="63E82722">
      <w:start w:val="1"/>
      <w:numFmt w:val="bullet"/>
      <w:lvlText w:val=""/>
      <w:lvlJc w:val="left"/>
      <w:pPr>
        <w:tabs>
          <w:tab w:val="num" w:pos="720"/>
        </w:tabs>
        <w:ind w:left="720" w:hanging="360"/>
      </w:pPr>
      <w:rPr>
        <w:rFonts w:ascii="Symbol" w:hAnsi="Symbol" w:hint="default"/>
        <w:color w:val="auto"/>
        <w:sz w:val="24"/>
      </w:rPr>
    </w:lvl>
    <w:lvl w:ilvl="1" w:tplc="04100003" w:tentative="1">
      <w:start w:val="1"/>
      <w:numFmt w:val="bullet"/>
      <w:lvlText w:val="o"/>
      <w:lvlJc w:val="left"/>
      <w:pPr>
        <w:tabs>
          <w:tab w:val="num" w:pos="1598"/>
        </w:tabs>
        <w:ind w:left="1598" w:hanging="360"/>
      </w:pPr>
      <w:rPr>
        <w:rFonts w:ascii="Courier New" w:hAnsi="Courier New" w:hint="default"/>
      </w:rPr>
    </w:lvl>
    <w:lvl w:ilvl="2" w:tplc="04100005" w:tentative="1">
      <w:start w:val="1"/>
      <w:numFmt w:val="bullet"/>
      <w:lvlText w:val=""/>
      <w:lvlJc w:val="left"/>
      <w:pPr>
        <w:tabs>
          <w:tab w:val="num" w:pos="2318"/>
        </w:tabs>
        <w:ind w:left="2318" w:hanging="360"/>
      </w:pPr>
      <w:rPr>
        <w:rFonts w:ascii="Wingdings" w:hAnsi="Wingdings" w:hint="default"/>
      </w:rPr>
    </w:lvl>
    <w:lvl w:ilvl="3" w:tplc="04100001" w:tentative="1">
      <w:start w:val="1"/>
      <w:numFmt w:val="bullet"/>
      <w:lvlText w:val=""/>
      <w:lvlJc w:val="left"/>
      <w:pPr>
        <w:tabs>
          <w:tab w:val="num" w:pos="3038"/>
        </w:tabs>
        <w:ind w:left="3038" w:hanging="360"/>
      </w:pPr>
      <w:rPr>
        <w:rFonts w:ascii="Symbol" w:hAnsi="Symbol" w:hint="default"/>
      </w:rPr>
    </w:lvl>
    <w:lvl w:ilvl="4" w:tplc="04100003" w:tentative="1">
      <w:start w:val="1"/>
      <w:numFmt w:val="bullet"/>
      <w:lvlText w:val="o"/>
      <w:lvlJc w:val="left"/>
      <w:pPr>
        <w:tabs>
          <w:tab w:val="num" w:pos="3758"/>
        </w:tabs>
        <w:ind w:left="3758" w:hanging="360"/>
      </w:pPr>
      <w:rPr>
        <w:rFonts w:ascii="Courier New" w:hAnsi="Courier New" w:hint="default"/>
      </w:rPr>
    </w:lvl>
    <w:lvl w:ilvl="5" w:tplc="04100005" w:tentative="1">
      <w:start w:val="1"/>
      <w:numFmt w:val="bullet"/>
      <w:lvlText w:val=""/>
      <w:lvlJc w:val="left"/>
      <w:pPr>
        <w:tabs>
          <w:tab w:val="num" w:pos="4478"/>
        </w:tabs>
        <w:ind w:left="4478" w:hanging="360"/>
      </w:pPr>
      <w:rPr>
        <w:rFonts w:ascii="Wingdings" w:hAnsi="Wingdings" w:hint="default"/>
      </w:rPr>
    </w:lvl>
    <w:lvl w:ilvl="6" w:tplc="04100001" w:tentative="1">
      <w:start w:val="1"/>
      <w:numFmt w:val="bullet"/>
      <w:lvlText w:val=""/>
      <w:lvlJc w:val="left"/>
      <w:pPr>
        <w:tabs>
          <w:tab w:val="num" w:pos="5198"/>
        </w:tabs>
        <w:ind w:left="5198" w:hanging="360"/>
      </w:pPr>
      <w:rPr>
        <w:rFonts w:ascii="Symbol" w:hAnsi="Symbol" w:hint="default"/>
      </w:rPr>
    </w:lvl>
    <w:lvl w:ilvl="7" w:tplc="04100003" w:tentative="1">
      <w:start w:val="1"/>
      <w:numFmt w:val="bullet"/>
      <w:lvlText w:val="o"/>
      <w:lvlJc w:val="left"/>
      <w:pPr>
        <w:tabs>
          <w:tab w:val="num" w:pos="5918"/>
        </w:tabs>
        <w:ind w:left="5918" w:hanging="360"/>
      </w:pPr>
      <w:rPr>
        <w:rFonts w:ascii="Courier New" w:hAnsi="Courier New" w:hint="default"/>
      </w:rPr>
    </w:lvl>
    <w:lvl w:ilvl="8" w:tplc="04100005" w:tentative="1">
      <w:start w:val="1"/>
      <w:numFmt w:val="bullet"/>
      <w:lvlText w:val=""/>
      <w:lvlJc w:val="left"/>
      <w:pPr>
        <w:tabs>
          <w:tab w:val="num" w:pos="6638"/>
        </w:tabs>
        <w:ind w:left="6638" w:hanging="360"/>
      </w:pPr>
      <w:rPr>
        <w:rFonts w:ascii="Wingdings" w:hAnsi="Wingdings" w:hint="default"/>
      </w:rPr>
    </w:lvl>
  </w:abstractNum>
  <w:abstractNum w:abstractNumId="13">
    <w:nsid w:val="59A006C6"/>
    <w:multiLevelType w:val="hybridMultilevel"/>
    <w:tmpl w:val="B0C4C9F6"/>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540"/>
        </w:tabs>
        <w:ind w:left="540" w:hanging="360"/>
      </w:pPr>
      <w:rPr>
        <w:rFonts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62552D4B"/>
    <w:multiLevelType w:val="hybridMultilevel"/>
    <w:tmpl w:val="A1A00CAA"/>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5">
    <w:nsid w:val="65AA67B5"/>
    <w:multiLevelType w:val="hybridMultilevel"/>
    <w:tmpl w:val="028AB05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67B379F1"/>
    <w:multiLevelType w:val="hybridMultilevel"/>
    <w:tmpl w:val="E752EA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C362E2F"/>
    <w:multiLevelType w:val="hybridMultilevel"/>
    <w:tmpl w:val="F7DC5B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E480426"/>
    <w:multiLevelType w:val="multilevel"/>
    <w:tmpl w:val="A38E23EE"/>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nsid w:val="6F710D89"/>
    <w:multiLevelType w:val="hybridMultilevel"/>
    <w:tmpl w:val="FD44CE8A"/>
    <w:lvl w:ilvl="0" w:tplc="04441288">
      <w:start w:val="1"/>
      <w:numFmt w:val="decimal"/>
      <w:lvlText w:val="%1."/>
      <w:lvlJc w:val="left"/>
      <w:pPr>
        <w:tabs>
          <w:tab w:val="num" w:pos="720"/>
        </w:tabs>
        <w:ind w:left="720" w:hanging="360"/>
      </w:pPr>
      <w:rPr>
        <w:rFonts w:cs="Times New Roman" w:hint="default"/>
        <w:color w:val="auto"/>
      </w:rPr>
    </w:lvl>
    <w:lvl w:ilvl="1" w:tplc="04100011">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nsid w:val="785B1E2B"/>
    <w:multiLevelType w:val="hybridMultilevel"/>
    <w:tmpl w:val="DD327E06"/>
    <w:lvl w:ilvl="0" w:tplc="370AC9DE">
      <w:start w:val="3"/>
      <w:numFmt w:val="decimal"/>
      <w:lvlText w:val="%1."/>
      <w:lvlJc w:val="left"/>
      <w:pPr>
        <w:tabs>
          <w:tab w:val="num" w:pos="720"/>
        </w:tabs>
        <w:ind w:left="720" w:hanging="360"/>
      </w:pPr>
      <w:rPr>
        <w:rFonts w:cs="Times New Roman" w:hint="default"/>
        <w:color w:val="auto"/>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lvlOverride w:ilvl="2"/>
    <w:lvlOverride w:ilvl="3"/>
    <w:lvlOverride w:ilvl="4"/>
    <w:lvlOverride w:ilvl="5"/>
    <w:lvlOverride w:ilvl="6"/>
    <w:lvlOverride w:ilvl="7"/>
    <w:lvlOverride w:ilvl="8"/>
  </w:num>
  <w:num w:numId="8">
    <w:abstractNumId w:val="19"/>
  </w:num>
  <w:num w:numId="9">
    <w:abstractNumId w:val="15"/>
  </w:num>
  <w:num w:numId="10">
    <w:abstractNumId w:val="0"/>
  </w:num>
  <w:num w:numId="11">
    <w:abstractNumId w:val="2"/>
  </w:num>
  <w:num w:numId="12">
    <w:abstractNumId w:val="18"/>
  </w:num>
  <w:num w:numId="13">
    <w:abstractNumId w:val="5"/>
  </w:num>
  <w:num w:numId="14">
    <w:abstractNumId w:val="7"/>
  </w:num>
  <w:num w:numId="15">
    <w:abstractNumId w:val="12"/>
  </w:num>
  <w:num w:numId="16">
    <w:abstractNumId w:val="14"/>
  </w:num>
  <w:num w:numId="17">
    <w:abstractNumId w:val="8"/>
  </w:num>
  <w:num w:numId="18">
    <w:abstractNumId w:val="3"/>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0"/>
  </w:num>
  <w:num w:numId="23">
    <w:abstractNumId w:val="1"/>
  </w:num>
  <w:num w:numId="24">
    <w:abstractNumId w:val="11"/>
  </w:num>
  <w:num w:numId="25">
    <w:abstractNumId w:val="17"/>
  </w:num>
  <w:num w:numId="2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stylePaneFormatFilter w:val="3F01"/>
  <w:defaultTabStop w:val="708"/>
  <w:hyphenationZone w:val="283"/>
  <w:characterSpacingControl w:val="doNotCompress"/>
  <w:hdrShapeDefaults>
    <o:shapedefaults v:ext="edit" spidmax="79874"/>
  </w:hdrShapeDefaults>
  <w:footnotePr>
    <w:footnote w:id="-1"/>
    <w:footnote w:id="0"/>
  </w:footnotePr>
  <w:endnotePr>
    <w:endnote w:id="-1"/>
    <w:endnote w:id="0"/>
  </w:endnotePr>
  <w:compat/>
  <w:rsids>
    <w:rsidRoot w:val="003A6175"/>
    <w:rsid w:val="00005826"/>
    <w:rsid w:val="00006207"/>
    <w:rsid w:val="00013FFE"/>
    <w:rsid w:val="000165AC"/>
    <w:rsid w:val="000302DB"/>
    <w:rsid w:val="00036F64"/>
    <w:rsid w:val="00045FEF"/>
    <w:rsid w:val="00052E7D"/>
    <w:rsid w:val="00067BE4"/>
    <w:rsid w:val="00073A31"/>
    <w:rsid w:val="00083704"/>
    <w:rsid w:val="00093C7D"/>
    <w:rsid w:val="00097DC6"/>
    <w:rsid w:val="000A1D3F"/>
    <w:rsid w:val="000A30C9"/>
    <w:rsid w:val="000B24C6"/>
    <w:rsid w:val="000B26A1"/>
    <w:rsid w:val="000B3C1E"/>
    <w:rsid w:val="000B4FD1"/>
    <w:rsid w:val="000C5338"/>
    <w:rsid w:val="000E5BC4"/>
    <w:rsid w:val="000F0A31"/>
    <w:rsid w:val="000F6A28"/>
    <w:rsid w:val="001008F9"/>
    <w:rsid w:val="00105B40"/>
    <w:rsid w:val="00113A15"/>
    <w:rsid w:val="001213C9"/>
    <w:rsid w:val="00131756"/>
    <w:rsid w:val="00142B8D"/>
    <w:rsid w:val="00154A1C"/>
    <w:rsid w:val="001554CB"/>
    <w:rsid w:val="001623D1"/>
    <w:rsid w:val="0016398F"/>
    <w:rsid w:val="00164F8F"/>
    <w:rsid w:val="00166D41"/>
    <w:rsid w:val="00174B00"/>
    <w:rsid w:val="001809E8"/>
    <w:rsid w:val="00180B3B"/>
    <w:rsid w:val="001810C2"/>
    <w:rsid w:val="0018470D"/>
    <w:rsid w:val="001962F1"/>
    <w:rsid w:val="001A1289"/>
    <w:rsid w:val="001A2A45"/>
    <w:rsid w:val="001A4BC8"/>
    <w:rsid w:val="001B5D84"/>
    <w:rsid w:val="001C5445"/>
    <w:rsid w:val="001C6D68"/>
    <w:rsid w:val="001D0D30"/>
    <w:rsid w:val="001D1877"/>
    <w:rsid w:val="001E3063"/>
    <w:rsid w:val="001F3315"/>
    <w:rsid w:val="001F7BF4"/>
    <w:rsid w:val="00220598"/>
    <w:rsid w:val="0024202A"/>
    <w:rsid w:val="00243AE0"/>
    <w:rsid w:val="002604B3"/>
    <w:rsid w:val="00261B54"/>
    <w:rsid w:val="00263E3D"/>
    <w:rsid w:val="00264AA5"/>
    <w:rsid w:val="00291F24"/>
    <w:rsid w:val="002A5A1D"/>
    <w:rsid w:val="002B1CBD"/>
    <w:rsid w:val="002C1FEE"/>
    <w:rsid w:val="002C58FA"/>
    <w:rsid w:val="002D216D"/>
    <w:rsid w:val="002D4433"/>
    <w:rsid w:val="002E2816"/>
    <w:rsid w:val="002E3EE6"/>
    <w:rsid w:val="002E5E82"/>
    <w:rsid w:val="00317074"/>
    <w:rsid w:val="003258F3"/>
    <w:rsid w:val="00332E46"/>
    <w:rsid w:val="00333A85"/>
    <w:rsid w:val="0033457B"/>
    <w:rsid w:val="00336B24"/>
    <w:rsid w:val="003628F6"/>
    <w:rsid w:val="0037027B"/>
    <w:rsid w:val="003728A6"/>
    <w:rsid w:val="00373061"/>
    <w:rsid w:val="00377AC1"/>
    <w:rsid w:val="00384335"/>
    <w:rsid w:val="003976A8"/>
    <w:rsid w:val="003A19A2"/>
    <w:rsid w:val="003A38ED"/>
    <w:rsid w:val="003A6175"/>
    <w:rsid w:val="003B3CE4"/>
    <w:rsid w:val="003D1F7D"/>
    <w:rsid w:val="003D614B"/>
    <w:rsid w:val="003E7046"/>
    <w:rsid w:val="003E7996"/>
    <w:rsid w:val="003F4E32"/>
    <w:rsid w:val="003F518D"/>
    <w:rsid w:val="003F6A11"/>
    <w:rsid w:val="00401239"/>
    <w:rsid w:val="00405BA8"/>
    <w:rsid w:val="00412F98"/>
    <w:rsid w:val="00413B7C"/>
    <w:rsid w:val="0041609E"/>
    <w:rsid w:val="00425EC8"/>
    <w:rsid w:val="004266ED"/>
    <w:rsid w:val="004313C9"/>
    <w:rsid w:val="0043639F"/>
    <w:rsid w:val="00443318"/>
    <w:rsid w:val="00455D66"/>
    <w:rsid w:val="00457D8F"/>
    <w:rsid w:val="004624B5"/>
    <w:rsid w:val="004674B4"/>
    <w:rsid w:val="00473D34"/>
    <w:rsid w:val="00473F22"/>
    <w:rsid w:val="00474F47"/>
    <w:rsid w:val="00477095"/>
    <w:rsid w:val="00496355"/>
    <w:rsid w:val="004963D0"/>
    <w:rsid w:val="004A01FE"/>
    <w:rsid w:val="004A305F"/>
    <w:rsid w:val="004A5060"/>
    <w:rsid w:val="004A5227"/>
    <w:rsid w:val="004B05A6"/>
    <w:rsid w:val="004C29CC"/>
    <w:rsid w:val="004D0BE3"/>
    <w:rsid w:val="004D71B8"/>
    <w:rsid w:val="004E0607"/>
    <w:rsid w:val="004F2610"/>
    <w:rsid w:val="00503097"/>
    <w:rsid w:val="005056C1"/>
    <w:rsid w:val="0051788D"/>
    <w:rsid w:val="00525939"/>
    <w:rsid w:val="005352A9"/>
    <w:rsid w:val="0053633E"/>
    <w:rsid w:val="00540544"/>
    <w:rsid w:val="00550C29"/>
    <w:rsid w:val="0055224C"/>
    <w:rsid w:val="00553533"/>
    <w:rsid w:val="00567C69"/>
    <w:rsid w:val="005722A5"/>
    <w:rsid w:val="00585F5F"/>
    <w:rsid w:val="005907DA"/>
    <w:rsid w:val="00596D72"/>
    <w:rsid w:val="00597CF9"/>
    <w:rsid w:val="005A29D4"/>
    <w:rsid w:val="005A5A5A"/>
    <w:rsid w:val="005B085A"/>
    <w:rsid w:val="005B2568"/>
    <w:rsid w:val="005B512F"/>
    <w:rsid w:val="005B6C57"/>
    <w:rsid w:val="005C7EEC"/>
    <w:rsid w:val="005D2E99"/>
    <w:rsid w:val="005F7ADB"/>
    <w:rsid w:val="00611898"/>
    <w:rsid w:val="00617ED2"/>
    <w:rsid w:val="00624124"/>
    <w:rsid w:val="00657372"/>
    <w:rsid w:val="00666722"/>
    <w:rsid w:val="006710CB"/>
    <w:rsid w:val="00672E2D"/>
    <w:rsid w:val="00674E65"/>
    <w:rsid w:val="006A3C7B"/>
    <w:rsid w:val="006A4B45"/>
    <w:rsid w:val="006A55A6"/>
    <w:rsid w:val="006A7723"/>
    <w:rsid w:val="006B0F66"/>
    <w:rsid w:val="006C3D6E"/>
    <w:rsid w:val="006C5E24"/>
    <w:rsid w:val="006E0594"/>
    <w:rsid w:val="006E2137"/>
    <w:rsid w:val="00700A2A"/>
    <w:rsid w:val="00703B71"/>
    <w:rsid w:val="007073B8"/>
    <w:rsid w:val="00707402"/>
    <w:rsid w:val="00730DEE"/>
    <w:rsid w:val="007317A4"/>
    <w:rsid w:val="00734E3E"/>
    <w:rsid w:val="007417D5"/>
    <w:rsid w:val="0075113E"/>
    <w:rsid w:val="00763C66"/>
    <w:rsid w:val="00774240"/>
    <w:rsid w:val="007872C5"/>
    <w:rsid w:val="00790262"/>
    <w:rsid w:val="0079765B"/>
    <w:rsid w:val="0079767F"/>
    <w:rsid w:val="00797799"/>
    <w:rsid w:val="007A27AC"/>
    <w:rsid w:val="007A4126"/>
    <w:rsid w:val="007A515F"/>
    <w:rsid w:val="007D121F"/>
    <w:rsid w:val="007D22B0"/>
    <w:rsid w:val="007D2C77"/>
    <w:rsid w:val="007F26DC"/>
    <w:rsid w:val="007F36EE"/>
    <w:rsid w:val="00801638"/>
    <w:rsid w:val="0080636D"/>
    <w:rsid w:val="00806698"/>
    <w:rsid w:val="008352CD"/>
    <w:rsid w:val="008424BF"/>
    <w:rsid w:val="00842958"/>
    <w:rsid w:val="00843C81"/>
    <w:rsid w:val="008615E3"/>
    <w:rsid w:val="00862FE1"/>
    <w:rsid w:val="008645F1"/>
    <w:rsid w:val="00864B6D"/>
    <w:rsid w:val="00867C8A"/>
    <w:rsid w:val="0087168F"/>
    <w:rsid w:val="008762BC"/>
    <w:rsid w:val="00886569"/>
    <w:rsid w:val="008A2F27"/>
    <w:rsid w:val="008A3B68"/>
    <w:rsid w:val="008B1849"/>
    <w:rsid w:val="008C0C07"/>
    <w:rsid w:val="008C6848"/>
    <w:rsid w:val="008C6BF7"/>
    <w:rsid w:val="008D1F09"/>
    <w:rsid w:val="008E19EE"/>
    <w:rsid w:val="008E2186"/>
    <w:rsid w:val="008E7398"/>
    <w:rsid w:val="008F54ED"/>
    <w:rsid w:val="00903F60"/>
    <w:rsid w:val="00913BE3"/>
    <w:rsid w:val="0091431D"/>
    <w:rsid w:val="00915566"/>
    <w:rsid w:val="00915F74"/>
    <w:rsid w:val="009210B4"/>
    <w:rsid w:val="00923245"/>
    <w:rsid w:val="0092357D"/>
    <w:rsid w:val="009332CF"/>
    <w:rsid w:val="009527B5"/>
    <w:rsid w:val="00954065"/>
    <w:rsid w:val="009651E0"/>
    <w:rsid w:val="0097062A"/>
    <w:rsid w:val="00990B65"/>
    <w:rsid w:val="009C5A9B"/>
    <w:rsid w:val="009D0369"/>
    <w:rsid w:val="009D22A6"/>
    <w:rsid w:val="009E1B5A"/>
    <w:rsid w:val="009E3FB4"/>
    <w:rsid w:val="009F02E7"/>
    <w:rsid w:val="009F2BB2"/>
    <w:rsid w:val="00A00D8E"/>
    <w:rsid w:val="00A12278"/>
    <w:rsid w:val="00A12ED5"/>
    <w:rsid w:val="00A1646C"/>
    <w:rsid w:val="00A42EFA"/>
    <w:rsid w:val="00A435A8"/>
    <w:rsid w:val="00A43B2E"/>
    <w:rsid w:val="00A5497D"/>
    <w:rsid w:val="00A65DAC"/>
    <w:rsid w:val="00A81862"/>
    <w:rsid w:val="00A85FC0"/>
    <w:rsid w:val="00A8676A"/>
    <w:rsid w:val="00A93DD7"/>
    <w:rsid w:val="00AB32AC"/>
    <w:rsid w:val="00AB6573"/>
    <w:rsid w:val="00AC0DA4"/>
    <w:rsid w:val="00AC3D89"/>
    <w:rsid w:val="00AD5ECC"/>
    <w:rsid w:val="00AD6352"/>
    <w:rsid w:val="00AE1637"/>
    <w:rsid w:val="00AE191E"/>
    <w:rsid w:val="00AE2B77"/>
    <w:rsid w:val="00AE3137"/>
    <w:rsid w:val="00AE38FD"/>
    <w:rsid w:val="00AF2F61"/>
    <w:rsid w:val="00AF62E4"/>
    <w:rsid w:val="00B25D7C"/>
    <w:rsid w:val="00B35690"/>
    <w:rsid w:val="00B3704A"/>
    <w:rsid w:val="00B402BA"/>
    <w:rsid w:val="00B40C42"/>
    <w:rsid w:val="00B445F5"/>
    <w:rsid w:val="00B46914"/>
    <w:rsid w:val="00B510C2"/>
    <w:rsid w:val="00B53EF5"/>
    <w:rsid w:val="00B64654"/>
    <w:rsid w:val="00B70E24"/>
    <w:rsid w:val="00B82380"/>
    <w:rsid w:val="00B871C6"/>
    <w:rsid w:val="00B90149"/>
    <w:rsid w:val="00B94D3E"/>
    <w:rsid w:val="00BA22E3"/>
    <w:rsid w:val="00BA379D"/>
    <w:rsid w:val="00BC5984"/>
    <w:rsid w:val="00BC7239"/>
    <w:rsid w:val="00BD3C07"/>
    <w:rsid w:val="00BE7FF6"/>
    <w:rsid w:val="00BF3CEB"/>
    <w:rsid w:val="00C02D64"/>
    <w:rsid w:val="00C247E5"/>
    <w:rsid w:val="00C25D1C"/>
    <w:rsid w:val="00C34616"/>
    <w:rsid w:val="00C355AC"/>
    <w:rsid w:val="00C41961"/>
    <w:rsid w:val="00C47AE8"/>
    <w:rsid w:val="00C528CB"/>
    <w:rsid w:val="00C6126A"/>
    <w:rsid w:val="00C80513"/>
    <w:rsid w:val="00C82BAA"/>
    <w:rsid w:val="00C85EC0"/>
    <w:rsid w:val="00C87669"/>
    <w:rsid w:val="00C91937"/>
    <w:rsid w:val="00CA3D9F"/>
    <w:rsid w:val="00CB5532"/>
    <w:rsid w:val="00CB75F5"/>
    <w:rsid w:val="00CC1D0C"/>
    <w:rsid w:val="00CD1850"/>
    <w:rsid w:val="00CD7FAD"/>
    <w:rsid w:val="00CE73A5"/>
    <w:rsid w:val="00D12144"/>
    <w:rsid w:val="00D20CFF"/>
    <w:rsid w:val="00D21F41"/>
    <w:rsid w:val="00D327A2"/>
    <w:rsid w:val="00D33281"/>
    <w:rsid w:val="00D36385"/>
    <w:rsid w:val="00D602B5"/>
    <w:rsid w:val="00D63831"/>
    <w:rsid w:val="00D70609"/>
    <w:rsid w:val="00D93A6C"/>
    <w:rsid w:val="00D96360"/>
    <w:rsid w:val="00D965E8"/>
    <w:rsid w:val="00DB2AEE"/>
    <w:rsid w:val="00DB310B"/>
    <w:rsid w:val="00DB3902"/>
    <w:rsid w:val="00DB4928"/>
    <w:rsid w:val="00DC208B"/>
    <w:rsid w:val="00DE6244"/>
    <w:rsid w:val="00DF3B3F"/>
    <w:rsid w:val="00DF6951"/>
    <w:rsid w:val="00DF7198"/>
    <w:rsid w:val="00E006E5"/>
    <w:rsid w:val="00E11196"/>
    <w:rsid w:val="00E154E9"/>
    <w:rsid w:val="00E1684C"/>
    <w:rsid w:val="00E2136C"/>
    <w:rsid w:val="00E21B48"/>
    <w:rsid w:val="00E25002"/>
    <w:rsid w:val="00E33852"/>
    <w:rsid w:val="00E41AF8"/>
    <w:rsid w:val="00E43D0C"/>
    <w:rsid w:val="00E468F5"/>
    <w:rsid w:val="00E507F9"/>
    <w:rsid w:val="00E51D45"/>
    <w:rsid w:val="00E60026"/>
    <w:rsid w:val="00E76395"/>
    <w:rsid w:val="00E942D8"/>
    <w:rsid w:val="00EA2C73"/>
    <w:rsid w:val="00EA39F7"/>
    <w:rsid w:val="00EA6683"/>
    <w:rsid w:val="00EC0B43"/>
    <w:rsid w:val="00EC3CB1"/>
    <w:rsid w:val="00EF5050"/>
    <w:rsid w:val="00F03880"/>
    <w:rsid w:val="00F1210B"/>
    <w:rsid w:val="00F14F91"/>
    <w:rsid w:val="00F2149A"/>
    <w:rsid w:val="00F21F85"/>
    <w:rsid w:val="00F25B5F"/>
    <w:rsid w:val="00F30460"/>
    <w:rsid w:val="00F44F2E"/>
    <w:rsid w:val="00F46334"/>
    <w:rsid w:val="00F467C0"/>
    <w:rsid w:val="00F54F41"/>
    <w:rsid w:val="00F64B2C"/>
    <w:rsid w:val="00F675BB"/>
    <w:rsid w:val="00F71396"/>
    <w:rsid w:val="00F72F85"/>
    <w:rsid w:val="00F84CEB"/>
    <w:rsid w:val="00F85C4E"/>
    <w:rsid w:val="00F878CB"/>
    <w:rsid w:val="00F94BF7"/>
    <w:rsid w:val="00FB52A6"/>
    <w:rsid w:val="00FC1575"/>
    <w:rsid w:val="00FC43C0"/>
    <w:rsid w:val="00FC7FB2"/>
    <w:rsid w:val="00FD7105"/>
    <w:rsid w:val="00FE4C7B"/>
    <w:rsid w:val="00FF1F1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6175"/>
    <w:pPr>
      <w:autoSpaceDE w:val="0"/>
      <w:autoSpaceDN w:val="0"/>
    </w:pPr>
    <w:rPr>
      <w:rFonts w:ascii="Arial" w:hAnsi="Arial"/>
      <w:szCs w:val="24"/>
    </w:rPr>
  </w:style>
  <w:style w:type="paragraph" w:styleId="Titolo1">
    <w:name w:val="heading 1"/>
    <w:basedOn w:val="Normale"/>
    <w:next w:val="Normale"/>
    <w:link w:val="Titolo1Carattere"/>
    <w:uiPriority w:val="99"/>
    <w:qFormat/>
    <w:rsid w:val="0043639F"/>
    <w:pPr>
      <w:keepNext/>
      <w:widowControl w:val="0"/>
      <w:adjustRightInd w:val="0"/>
      <w:spacing w:before="240" w:after="60"/>
      <w:outlineLvl w:val="0"/>
    </w:pPr>
    <w:rPr>
      <w:rFonts w:cs="Arial"/>
      <w:b/>
      <w:bCs/>
      <w:kern w:val="32"/>
      <w:sz w:val="32"/>
      <w:szCs w:val="32"/>
    </w:rPr>
  </w:style>
  <w:style w:type="paragraph" w:styleId="Titolo2">
    <w:name w:val="heading 2"/>
    <w:basedOn w:val="Normale"/>
    <w:next w:val="Normale"/>
    <w:link w:val="Titolo2Carattere"/>
    <w:uiPriority w:val="99"/>
    <w:qFormat/>
    <w:rsid w:val="003A6175"/>
    <w:pPr>
      <w:keepNext/>
      <w:spacing w:before="240" w:after="60"/>
      <w:outlineLvl w:val="1"/>
    </w:pPr>
    <w:rPr>
      <w:rFonts w:cs="Arial"/>
      <w:b/>
      <w:bCs/>
      <w:i/>
      <w:iCs/>
      <w:sz w:val="28"/>
      <w:szCs w:val="28"/>
    </w:rPr>
  </w:style>
  <w:style w:type="paragraph" w:styleId="Titolo6">
    <w:name w:val="heading 6"/>
    <w:basedOn w:val="Normale"/>
    <w:next w:val="Normale"/>
    <w:link w:val="Titolo6Carattere"/>
    <w:uiPriority w:val="99"/>
    <w:qFormat/>
    <w:rsid w:val="003A6175"/>
    <w:pPr>
      <w:autoSpaceDE/>
      <w:autoSpaceDN/>
      <w:spacing w:before="240" w:after="60"/>
      <w:outlineLvl w:val="5"/>
    </w:pPr>
    <w:rPr>
      <w:rFonts w:ascii="Times New Roman" w:hAnsi="Times New Roman"/>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11E8B"/>
    <w:rPr>
      <w:rFonts w:ascii="Cambria" w:eastAsia="Times New Roman" w:hAnsi="Cambria" w:cs="Times New Roman"/>
      <w:b/>
      <w:bCs/>
      <w:kern w:val="32"/>
      <w:sz w:val="32"/>
      <w:szCs w:val="32"/>
    </w:rPr>
  </w:style>
  <w:style w:type="character" w:customStyle="1" w:styleId="Titolo2Carattere">
    <w:name w:val="Titolo 2 Carattere"/>
    <w:basedOn w:val="Carpredefinitoparagrafo"/>
    <w:link w:val="Titolo2"/>
    <w:uiPriority w:val="9"/>
    <w:semiHidden/>
    <w:rsid w:val="00211E8B"/>
    <w:rPr>
      <w:rFonts w:ascii="Cambria" w:eastAsia="Times New Roman" w:hAnsi="Cambria" w:cs="Times New Roman"/>
      <w:b/>
      <w:bCs/>
      <w:i/>
      <w:iCs/>
      <w:sz w:val="28"/>
      <w:szCs w:val="28"/>
    </w:rPr>
  </w:style>
  <w:style w:type="character" w:customStyle="1" w:styleId="Titolo6Carattere">
    <w:name w:val="Titolo 6 Carattere"/>
    <w:basedOn w:val="Carpredefinitoparagrafo"/>
    <w:link w:val="Titolo6"/>
    <w:uiPriority w:val="9"/>
    <w:semiHidden/>
    <w:rsid w:val="00211E8B"/>
    <w:rPr>
      <w:rFonts w:ascii="Calibri" w:eastAsia="Times New Roman" w:hAnsi="Calibri" w:cs="Times New Roman"/>
      <w:b/>
      <w:bCs/>
    </w:rPr>
  </w:style>
  <w:style w:type="paragraph" w:styleId="Corpodeltesto">
    <w:name w:val="Body Text"/>
    <w:basedOn w:val="Normale"/>
    <w:link w:val="CorpodeltestoCarattere"/>
    <w:uiPriority w:val="99"/>
    <w:rsid w:val="003A6175"/>
    <w:pPr>
      <w:jc w:val="both"/>
    </w:pPr>
    <w:rPr>
      <w:sz w:val="24"/>
    </w:rPr>
  </w:style>
  <w:style w:type="character" w:customStyle="1" w:styleId="CorpodeltestoCarattere">
    <w:name w:val="Corpo del testo Carattere"/>
    <w:basedOn w:val="Carpredefinitoparagrafo"/>
    <w:link w:val="Corpodeltesto"/>
    <w:uiPriority w:val="99"/>
    <w:semiHidden/>
    <w:rsid w:val="00211E8B"/>
    <w:rPr>
      <w:rFonts w:ascii="Arial" w:hAnsi="Arial"/>
      <w:sz w:val="20"/>
      <w:szCs w:val="24"/>
    </w:rPr>
  </w:style>
  <w:style w:type="character" w:styleId="Numeropagina">
    <w:name w:val="page number"/>
    <w:basedOn w:val="Carpredefinitoparagrafo"/>
    <w:uiPriority w:val="99"/>
    <w:rsid w:val="003A6175"/>
    <w:rPr>
      <w:rFonts w:cs="Times New Roman"/>
    </w:rPr>
  </w:style>
  <w:style w:type="paragraph" w:styleId="Pidipagina">
    <w:name w:val="footer"/>
    <w:basedOn w:val="Normale"/>
    <w:link w:val="PidipaginaCarattere"/>
    <w:uiPriority w:val="99"/>
    <w:rsid w:val="003A6175"/>
    <w:rPr>
      <w:rFonts w:ascii="Tahoma" w:hAnsi="Tahoma"/>
      <w:color w:val="363D41"/>
    </w:rPr>
  </w:style>
  <w:style w:type="character" w:customStyle="1" w:styleId="PidipaginaCarattere">
    <w:name w:val="Piè di pagina Carattere"/>
    <w:basedOn w:val="Carpredefinitoparagrafo"/>
    <w:link w:val="Pidipagina"/>
    <w:uiPriority w:val="99"/>
    <w:semiHidden/>
    <w:rsid w:val="00211E8B"/>
    <w:rPr>
      <w:rFonts w:ascii="Arial" w:hAnsi="Arial"/>
      <w:sz w:val="20"/>
      <w:szCs w:val="24"/>
    </w:rPr>
  </w:style>
  <w:style w:type="paragraph" w:styleId="Intestazione">
    <w:name w:val="header"/>
    <w:basedOn w:val="Normale"/>
    <w:link w:val="IntestazioneCarattere"/>
    <w:uiPriority w:val="99"/>
    <w:rsid w:val="003A6175"/>
    <w:pPr>
      <w:jc w:val="both"/>
    </w:pPr>
    <w:rPr>
      <w:rFonts w:ascii="Tahoma" w:hAnsi="Tahoma"/>
      <w:smallCaps/>
      <w:color w:val="363D41"/>
      <w:sz w:val="22"/>
    </w:rPr>
  </w:style>
  <w:style w:type="character" w:customStyle="1" w:styleId="IntestazioneCarattere">
    <w:name w:val="Intestazione Carattere"/>
    <w:basedOn w:val="Carpredefinitoparagrafo"/>
    <w:link w:val="Intestazione"/>
    <w:uiPriority w:val="99"/>
    <w:semiHidden/>
    <w:rsid w:val="00211E8B"/>
    <w:rPr>
      <w:rFonts w:ascii="Arial" w:hAnsi="Arial"/>
      <w:sz w:val="20"/>
      <w:szCs w:val="24"/>
    </w:rPr>
  </w:style>
  <w:style w:type="paragraph" w:customStyle="1" w:styleId="Indice">
    <w:name w:val="Indice"/>
    <w:basedOn w:val="Normale"/>
    <w:next w:val="Normale"/>
    <w:uiPriority w:val="99"/>
    <w:rsid w:val="003A6175"/>
    <w:pPr>
      <w:spacing w:after="480"/>
      <w:jc w:val="center"/>
    </w:pPr>
    <w:rPr>
      <w:rFonts w:ascii="Tahoma" w:hAnsi="Tahoma"/>
      <w:b/>
      <w:bCs/>
      <w:caps/>
      <w:sz w:val="22"/>
    </w:rPr>
  </w:style>
  <w:style w:type="paragraph" w:customStyle="1" w:styleId="Articolo">
    <w:name w:val="Articolo"/>
    <w:basedOn w:val="Titolo2"/>
    <w:next w:val="Normale"/>
    <w:link w:val="ArticoloCarattere"/>
    <w:uiPriority w:val="99"/>
    <w:rsid w:val="003A6175"/>
    <w:pPr>
      <w:keepLines/>
      <w:autoSpaceDE/>
      <w:autoSpaceDN/>
      <w:spacing w:before="480" w:after="120"/>
      <w:jc w:val="both"/>
    </w:pPr>
    <w:rPr>
      <w:rFonts w:cs="Times New Roman"/>
      <w:bCs w:val="0"/>
      <w:i w:val="0"/>
      <w:iCs w:val="0"/>
      <w:smallCaps/>
      <w:sz w:val="24"/>
      <w:szCs w:val="20"/>
    </w:rPr>
  </w:style>
  <w:style w:type="paragraph" w:customStyle="1" w:styleId="protocollo">
    <w:name w:val="protocollo"/>
    <w:basedOn w:val="Normale"/>
    <w:uiPriority w:val="99"/>
    <w:rsid w:val="003A6175"/>
    <w:pPr>
      <w:autoSpaceDE/>
      <w:autoSpaceDN/>
    </w:pPr>
    <w:rPr>
      <w:sz w:val="24"/>
      <w:szCs w:val="20"/>
    </w:rPr>
  </w:style>
  <w:style w:type="paragraph" w:styleId="Corpodeltesto2">
    <w:name w:val="Body Text 2"/>
    <w:basedOn w:val="Normale"/>
    <w:link w:val="Corpodeltesto2Carattere"/>
    <w:uiPriority w:val="99"/>
    <w:rsid w:val="003A6175"/>
    <w:pPr>
      <w:spacing w:after="120" w:line="480" w:lineRule="auto"/>
    </w:pPr>
  </w:style>
  <w:style w:type="character" w:customStyle="1" w:styleId="Corpodeltesto2Carattere">
    <w:name w:val="Corpo del testo 2 Carattere"/>
    <w:basedOn w:val="Carpredefinitoparagrafo"/>
    <w:link w:val="Corpodeltesto2"/>
    <w:uiPriority w:val="99"/>
    <w:locked/>
    <w:rsid w:val="003A6175"/>
    <w:rPr>
      <w:rFonts w:ascii="Arial" w:hAnsi="Arial" w:cs="Times New Roman"/>
      <w:sz w:val="24"/>
      <w:szCs w:val="24"/>
      <w:lang w:val="it-IT" w:eastAsia="it-IT" w:bidi="ar-SA"/>
    </w:rPr>
  </w:style>
  <w:style w:type="paragraph" w:customStyle="1" w:styleId="Titolo18pt">
    <w:name w:val="Titolo + 18 pt"/>
    <w:aliases w:val="Superiore: (Doppia,Automatico,0,5 pt Larghezza della riga)..."/>
    <w:basedOn w:val="Titolo"/>
    <w:uiPriority w:val="99"/>
    <w:rsid w:val="003A6175"/>
    <w:pPr>
      <w:pBdr>
        <w:top w:val="double" w:sz="4" w:space="1" w:color="auto"/>
        <w:bottom w:val="double" w:sz="4" w:space="11" w:color="auto"/>
      </w:pBdr>
      <w:autoSpaceDE/>
      <w:autoSpaceDN/>
      <w:spacing w:before="0" w:after="0"/>
      <w:outlineLvl w:val="9"/>
    </w:pPr>
    <w:rPr>
      <w:rFonts w:ascii="OCR A Extended" w:hAnsi="OCR A Extended" w:cs="Times New Roman"/>
      <w:b w:val="0"/>
      <w:bCs w:val="0"/>
      <w:color w:val="000080"/>
      <w:sz w:val="36"/>
      <w:szCs w:val="144"/>
    </w:rPr>
  </w:style>
  <w:style w:type="paragraph" w:styleId="Sommario2">
    <w:name w:val="toc 2"/>
    <w:basedOn w:val="Normale"/>
    <w:next w:val="Normale"/>
    <w:autoRedefine/>
    <w:uiPriority w:val="99"/>
    <w:semiHidden/>
    <w:rsid w:val="003A6175"/>
    <w:pPr>
      <w:ind w:left="200"/>
    </w:pPr>
  </w:style>
  <w:style w:type="character" w:styleId="Collegamentoipertestuale">
    <w:name w:val="Hyperlink"/>
    <w:basedOn w:val="Carpredefinitoparagrafo"/>
    <w:uiPriority w:val="99"/>
    <w:rsid w:val="003A6175"/>
    <w:rPr>
      <w:rFonts w:cs="Times New Roman"/>
      <w:color w:val="0000FF"/>
      <w:u w:val="single"/>
    </w:rPr>
  </w:style>
  <w:style w:type="paragraph" w:customStyle="1" w:styleId="articolo0">
    <w:name w:val="articolo"/>
    <w:basedOn w:val="Normale"/>
    <w:uiPriority w:val="99"/>
    <w:rsid w:val="003A6175"/>
    <w:pPr>
      <w:keepNext/>
      <w:autoSpaceDE/>
      <w:autoSpaceDN/>
      <w:spacing w:before="480" w:after="120"/>
      <w:jc w:val="both"/>
    </w:pPr>
    <w:rPr>
      <w:rFonts w:cs="Arial"/>
      <w:b/>
      <w:bCs/>
      <w:smallCaps/>
      <w:sz w:val="24"/>
    </w:rPr>
  </w:style>
  <w:style w:type="paragraph" w:styleId="Titolo">
    <w:name w:val="Title"/>
    <w:basedOn w:val="Normale"/>
    <w:link w:val="TitoloCarattere"/>
    <w:uiPriority w:val="99"/>
    <w:qFormat/>
    <w:rsid w:val="003A6175"/>
    <w:pPr>
      <w:spacing w:before="240" w:after="60"/>
      <w:jc w:val="center"/>
      <w:outlineLvl w:val="0"/>
    </w:pPr>
    <w:rPr>
      <w:rFonts w:cs="Arial"/>
      <w:b/>
      <w:bCs/>
      <w:kern w:val="28"/>
      <w:sz w:val="32"/>
      <w:szCs w:val="32"/>
    </w:rPr>
  </w:style>
  <w:style w:type="character" w:customStyle="1" w:styleId="TitoloCarattere">
    <w:name w:val="Titolo Carattere"/>
    <w:basedOn w:val="Carpredefinitoparagrafo"/>
    <w:link w:val="Titolo"/>
    <w:uiPriority w:val="99"/>
    <w:locked/>
    <w:rsid w:val="00F03880"/>
    <w:rPr>
      <w:rFonts w:ascii="Arial" w:hAnsi="Arial" w:cs="Arial"/>
      <w:b/>
      <w:bCs/>
      <w:kern w:val="28"/>
      <w:sz w:val="32"/>
      <w:szCs w:val="32"/>
      <w:lang w:val="it-IT" w:eastAsia="it-IT" w:bidi="ar-SA"/>
    </w:rPr>
  </w:style>
  <w:style w:type="character" w:customStyle="1" w:styleId="ArticoloCarattere">
    <w:name w:val="Articolo Carattere"/>
    <w:basedOn w:val="Carpredefinitoparagrafo"/>
    <w:link w:val="Articolo"/>
    <w:uiPriority w:val="99"/>
    <w:locked/>
    <w:rsid w:val="008D1F09"/>
    <w:rPr>
      <w:rFonts w:ascii="Arial" w:hAnsi="Arial" w:cs="Times New Roman"/>
      <w:b/>
      <w:smallCaps/>
      <w:sz w:val="24"/>
      <w:lang w:val="it-IT" w:eastAsia="it-IT" w:bidi="ar-SA"/>
    </w:rPr>
  </w:style>
  <w:style w:type="paragraph" w:styleId="Sommario1">
    <w:name w:val="toc 1"/>
    <w:basedOn w:val="Normale"/>
    <w:next w:val="Normale"/>
    <w:autoRedefine/>
    <w:uiPriority w:val="99"/>
    <w:semiHidden/>
    <w:rsid w:val="0043639F"/>
  </w:style>
  <w:style w:type="paragraph" w:styleId="Testonotaapidipagina">
    <w:name w:val="footnote text"/>
    <w:basedOn w:val="Normale"/>
    <w:link w:val="TestonotaapidipaginaCarattere"/>
    <w:uiPriority w:val="99"/>
    <w:semiHidden/>
    <w:rsid w:val="00DB310B"/>
    <w:rPr>
      <w:szCs w:val="20"/>
    </w:rPr>
  </w:style>
  <w:style w:type="character" w:customStyle="1" w:styleId="TestonotaapidipaginaCarattere">
    <w:name w:val="Testo nota a piè di pagina Carattere"/>
    <w:basedOn w:val="Carpredefinitoparagrafo"/>
    <w:link w:val="Testonotaapidipagina"/>
    <w:uiPriority w:val="99"/>
    <w:semiHidden/>
    <w:rsid w:val="00211E8B"/>
    <w:rPr>
      <w:rFonts w:ascii="Arial" w:hAnsi="Arial"/>
      <w:sz w:val="20"/>
      <w:szCs w:val="20"/>
    </w:rPr>
  </w:style>
  <w:style w:type="character" w:styleId="Rimandonotaapidipagina">
    <w:name w:val="footnote reference"/>
    <w:basedOn w:val="Carpredefinitoparagrafo"/>
    <w:uiPriority w:val="99"/>
    <w:semiHidden/>
    <w:rsid w:val="00DB310B"/>
    <w:rPr>
      <w:rFonts w:cs="Times New Roman"/>
      <w:vertAlign w:val="superscript"/>
    </w:rPr>
  </w:style>
  <w:style w:type="paragraph" w:styleId="Testofumetto">
    <w:name w:val="Balloon Text"/>
    <w:basedOn w:val="Normale"/>
    <w:link w:val="TestofumettoCarattere"/>
    <w:uiPriority w:val="99"/>
    <w:semiHidden/>
    <w:unhideWhenUsed/>
    <w:rsid w:val="001D0D3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0D30"/>
    <w:rPr>
      <w:rFonts w:ascii="Tahoma" w:hAnsi="Tahoma" w:cs="Tahoma"/>
      <w:sz w:val="16"/>
      <w:szCs w:val="16"/>
    </w:rPr>
  </w:style>
  <w:style w:type="paragraph" w:styleId="Paragrafoelenco">
    <w:name w:val="List Paragraph"/>
    <w:basedOn w:val="Normale"/>
    <w:uiPriority w:val="34"/>
    <w:qFormat/>
    <w:rsid w:val="00C02D64"/>
    <w:pPr>
      <w:ind w:left="720"/>
      <w:contextualSpacing/>
    </w:pPr>
  </w:style>
</w:styles>
</file>

<file path=word/webSettings.xml><?xml version="1.0" encoding="utf-8"?>
<w:webSettings xmlns:r="http://schemas.openxmlformats.org/officeDocument/2006/relationships" xmlns:w="http://schemas.openxmlformats.org/wordprocessingml/2006/main">
  <w:divs>
    <w:div w:id="2107311111">
      <w:marLeft w:val="0"/>
      <w:marRight w:val="0"/>
      <w:marTop w:val="0"/>
      <w:marBottom w:val="0"/>
      <w:divBdr>
        <w:top w:val="none" w:sz="0" w:space="0" w:color="auto"/>
        <w:left w:val="none" w:sz="0" w:space="0" w:color="auto"/>
        <w:bottom w:val="none" w:sz="0" w:space="0" w:color="auto"/>
        <w:right w:val="none" w:sz="0" w:space="0" w:color="auto"/>
      </w:divBdr>
    </w:div>
    <w:div w:id="2107311112">
      <w:marLeft w:val="0"/>
      <w:marRight w:val="0"/>
      <w:marTop w:val="0"/>
      <w:marBottom w:val="0"/>
      <w:divBdr>
        <w:top w:val="none" w:sz="0" w:space="0" w:color="auto"/>
        <w:left w:val="none" w:sz="0" w:space="0" w:color="auto"/>
        <w:bottom w:val="none" w:sz="0" w:space="0" w:color="auto"/>
        <w:right w:val="none" w:sz="0" w:space="0" w:color="auto"/>
      </w:divBdr>
    </w:div>
    <w:div w:id="2107311113">
      <w:marLeft w:val="0"/>
      <w:marRight w:val="0"/>
      <w:marTop w:val="0"/>
      <w:marBottom w:val="0"/>
      <w:divBdr>
        <w:top w:val="none" w:sz="0" w:space="0" w:color="auto"/>
        <w:left w:val="none" w:sz="0" w:space="0" w:color="auto"/>
        <w:bottom w:val="none" w:sz="0" w:space="0" w:color="auto"/>
        <w:right w:val="none" w:sz="0" w:space="0" w:color="auto"/>
      </w:divBdr>
    </w:div>
    <w:div w:id="21073111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94294-C555-428F-8A67-FCB6C2DA4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Pages>
  <Words>2320</Words>
  <Characters>13228</Characters>
  <Application>Microsoft Office Word</Application>
  <DocSecurity>0</DocSecurity>
  <Lines>110</Lines>
  <Paragraphs>31</Paragraphs>
  <ScaleCrop>false</ScaleCrop>
  <HeadingPairs>
    <vt:vector size="2" baseType="variant">
      <vt:variant>
        <vt:lpstr>Titolo</vt:lpstr>
      </vt:variant>
      <vt:variant>
        <vt:i4>1</vt:i4>
      </vt:variant>
    </vt:vector>
  </HeadingPairs>
  <TitlesOfParts>
    <vt:vector size="1" baseType="lpstr">
      <vt:lpstr>CONVENZIONE TRIENNALE</vt:lpstr>
    </vt:vector>
  </TitlesOfParts>
  <Company>Ministero dell'Economia e delle Finanze</Company>
  <LinksUpToDate>false</LinksUpToDate>
  <CharactersWithSpaces>15517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CONVENZIONE TRIENNALE</dc:title>
  <dc:subject/>
  <dc:creator>Ministero dell'Economia e delle Finanze</dc:creator>
  <cp:keywords/>
  <dc:description/>
  <cp:lastModifiedBy>MRTTTL53L70H501L</cp:lastModifiedBy>
  <cp:revision>10</cp:revision>
  <cp:lastPrinted>2010-04-12T08:24:00Z</cp:lastPrinted>
  <dcterms:created xsi:type="dcterms:W3CDTF">2011-07-13T14:40:00Z</dcterms:created>
  <dcterms:modified xsi:type="dcterms:W3CDTF">2011-07-28T06:59:00Z</dcterms:modified>
</cp:coreProperties>
</file>